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F8C43" w14:textId="77777777" w:rsidR="004A723E" w:rsidRDefault="00401174">
      <w:r>
        <w:t>S</w:t>
      </w:r>
      <w:r w:rsidR="006529E9">
        <w:t xml:space="preserve">afety </w:t>
      </w:r>
      <w:r w:rsidR="00443DFC">
        <w:t xml:space="preserve">Policy </w:t>
      </w:r>
      <w:r w:rsidR="006529E9">
        <w:t>Manual</w:t>
      </w:r>
    </w:p>
    <w:p w14:paraId="5D74C100" w14:textId="77777777" w:rsidR="006529E9" w:rsidRDefault="006529E9">
      <w:r>
        <w:t>Hazard Communication Policy</w:t>
      </w:r>
    </w:p>
    <w:p w14:paraId="631D14F5" w14:textId="77777777" w:rsidR="006529E9" w:rsidRDefault="006529E9"/>
    <w:p w14:paraId="6DB9F3C9" w14:textId="2529F9AA" w:rsidR="006529E9" w:rsidRDefault="00CC5791">
      <w:r>
        <w:rPr>
          <w:noProof/>
        </w:rPr>
        <w:drawing>
          <wp:anchor distT="0" distB="0" distL="114300" distR="114300" simplePos="0" relativeHeight="251658240" behindDoc="1" locked="0" layoutInCell="1" allowOverlap="1" wp14:anchorId="367A8471" wp14:editId="1AAACA92">
            <wp:simplePos x="0" y="0"/>
            <wp:positionH relativeFrom="column">
              <wp:posOffset>220980</wp:posOffset>
            </wp:positionH>
            <wp:positionV relativeFrom="paragraph">
              <wp:posOffset>123190</wp:posOffset>
            </wp:positionV>
            <wp:extent cx="2635250" cy="701040"/>
            <wp:effectExtent l="0" t="0" r="6350" b="10160"/>
            <wp:wrapNone/>
            <wp:docPr id="6" name="Picture 6" descr="Boomrod, Ah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mrod, Ahm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A5EBB" w14:textId="77777777" w:rsidR="0029317A" w:rsidRPr="00C75F9C" w:rsidRDefault="0029317A" w:rsidP="0029317A">
      <w:pPr>
        <w:rPr>
          <w:sz w:val="20"/>
          <w:szCs w:val="20"/>
        </w:rPr>
      </w:pPr>
      <w:r w:rsidRPr="00C75F9C">
        <w:rPr>
          <w:sz w:val="20"/>
          <w:szCs w:val="20"/>
        </w:rPr>
        <w:t>Approved:</w:t>
      </w:r>
    </w:p>
    <w:p w14:paraId="1BA0F764" w14:textId="77777777" w:rsidR="0029317A" w:rsidRPr="00C75F9C" w:rsidRDefault="0029317A" w:rsidP="0029317A">
      <w:pPr>
        <w:tabs>
          <w:tab w:val="left" w:pos="5760"/>
        </w:tabs>
        <w:rPr>
          <w:sz w:val="20"/>
          <w:szCs w:val="20"/>
          <w:u w:val="single"/>
        </w:rPr>
      </w:pPr>
    </w:p>
    <w:p w14:paraId="093F6770" w14:textId="77777777" w:rsidR="0029317A" w:rsidRPr="00C75F9C" w:rsidRDefault="0029317A" w:rsidP="0029317A">
      <w:pPr>
        <w:tabs>
          <w:tab w:val="left" w:pos="5760"/>
        </w:tabs>
        <w:rPr>
          <w:sz w:val="20"/>
          <w:szCs w:val="20"/>
        </w:rPr>
      </w:pPr>
      <w:r w:rsidRPr="00C75F9C">
        <w:rPr>
          <w:sz w:val="20"/>
          <w:szCs w:val="20"/>
          <w:u w:val="single"/>
        </w:rPr>
        <w:tab/>
      </w:r>
    </w:p>
    <w:p w14:paraId="606FD853" w14:textId="77777777" w:rsidR="0029317A" w:rsidRPr="00C75F9C" w:rsidRDefault="0029317A" w:rsidP="0029317A">
      <w:pPr>
        <w:tabs>
          <w:tab w:val="left" w:pos="360"/>
          <w:tab w:val="left" w:pos="5760"/>
        </w:tabs>
        <w:rPr>
          <w:sz w:val="20"/>
          <w:szCs w:val="20"/>
        </w:rPr>
      </w:pPr>
      <w:r w:rsidRPr="00C75F9C">
        <w:rPr>
          <w:sz w:val="20"/>
          <w:szCs w:val="20"/>
        </w:rPr>
        <w:tab/>
      </w:r>
      <w:r w:rsidR="003F6BAA">
        <w:rPr>
          <w:sz w:val="20"/>
          <w:szCs w:val="20"/>
        </w:rPr>
        <w:t>Ahmed Boomrod</w:t>
      </w:r>
      <w:r w:rsidRPr="00C75F9C">
        <w:rPr>
          <w:sz w:val="20"/>
          <w:szCs w:val="20"/>
        </w:rPr>
        <w:t>, CEO/President</w:t>
      </w:r>
    </w:p>
    <w:p w14:paraId="3DCAE189" w14:textId="77777777" w:rsidR="0029317A" w:rsidRPr="00C75F9C" w:rsidRDefault="0029317A" w:rsidP="0029317A">
      <w:pPr>
        <w:tabs>
          <w:tab w:val="left" w:pos="5760"/>
        </w:tabs>
        <w:rPr>
          <w:sz w:val="20"/>
          <w:szCs w:val="20"/>
        </w:rPr>
      </w:pPr>
    </w:p>
    <w:p w14:paraId="2B3B2880" w14:textId="77777777" w:rsidR="0029317A" w:rsidRPr="00C75F9C" w:rsidRDefault="0029317A" w:rsidP="0029317A">
      <w:pPr>
        <w:tabs>
          <w:tab w:val="left" w:pos="5760"/>
        </w:tabs>
        <w:rPr>
          <w:sz w:val="20"/>
          <w:szCs w:val="20"/>
        </w:rPr>
      </w:pPr>
    </w:p>
    <w:p w14:paraId="178D8747" w14:textId="77777777" w:rsidR="0029317A" w:rsidRPr="00C75F9C" w:rsidRDefault="0029317A" w:rsidP="0029317A">
      <w:pPr>
        <w:tabs>
          <w:tab w:val="left" w:pos="5760"/>
        </w:tabs>
        <w:rPr>
          <w:sz w:val="20"/>
          <w:szCs w:val="20"/>
        </w:rPr>
      </w:pPr>
    </w:p>
    <w:p w14:paraId="2B8B5AED" w14:textId="64DD4972" w:rsidR="0029317A" w:rsidRPr="00C75F9C" w:rsidRDefault="00CC5791" w:rsidP="0029317A">
      <w:pPr>
        <w:tabs>
          <w:tab w:val="left" w:pos="576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1537BB05" wp14:editId="7F39BB8F">
            <wp:simplePos x="0" y="0"/>
            <wp:positionH relativeFrom="column">
              <wp:posOffset>1905</wp:posOffset>
            </wp:positionH>
            <wp:positionV relativeFrom="paragraph">
              <wp:posOffset>76200</wp:posOffset>
            </wp:positionV>
            <wp:extent cx="1957705" cy="457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59" b="20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17A" w:rsidRPr="00C75F9C">
        <w:rPr>
          <w:sz w:val="20"/>
          <w:szCs w:val="20"/>
        </w:rPr>
        <w:t>Approved:</w:t>
      </w:r>
    </w:p>
    <w:p w14:paraId="1C2C0F6A" w14:textId="77777777" w:rsidR="0029317A" w:rsidRPr="00C75F9C" w:rsidRDefault="0029317A" w:rsidP="0029317A">
      <w:pPr>
        <w:tabs>
          <w:tab w:val="left" w:pos="5760"/>
        </w:tabs>
        <w:rPr>
          <w:sz w:val="20"/>
          <w:szCs w:val="20"/>
        </w:rPr>
      </w:pPr>
    </w:p>
    <w:p w14:paraId="61581CC3" w14:textId="77777777" w:rsidR="0029317A" w:rsidRPr="00C75F9C" w:rsidRDefault="0029317A" w:rsidP="0029317A">
      <w:pPr>
        <w:tabs>
          <w:tab w:val="left" w:pos="5760"/>
        </w:tabs>
        <w:rPr>
          <w:sz w:val="20"/>
          <w:szCs w:val="20"/>
        </w:rPr>
      </w:pPr>
      <w:r w:rsidRPr="00C75F9C">
        <w:rPr>
          <w:sz w:val="20"/>
          <w:szCs w:val="20"/>
          <w:u w:val="single"/>
        </w:rPr>
        <w:tab/>
      </w:r>
    </w:p>
    <w:p w14:paraId="0C545B15" w14:textId="77777777" w:rsidR="0029317A" w:rsidRPr="00C75F9C" w:rsidRDefault="0029317A" w:rsidP="0029317A">
      <w:pPr>
        <w:tabs>
          <w:tab w:val="left" w:pos="360"/>
          <w:tab w:val="left" w:pos="5760"/>
        </w:tabs>
        <w:rPr>
          <w:sz w:val="20"/>
          <w:szCs w:val="20"/>
        </w:rPr>
      </w:pPr>
      <w:r w:rsidRPr="00C75F9C">
        <w:rPr>
          <w:sz w:val="20"/>
          <w:szCs w:val="20"/>
        </w:rPr>
        <w:tab/>
        <w:t>Michael G. Cad</w:t>
      </w:r>
      <w:r w:rsidR="0051004C">
        <w:rPr>
          <w:sz w:val="20"/>
          <w:szCs w:val="20"/>
        </w:rPr>
        <w:t>otte, VP Safety &amp; Quality</w:t>
      </w:r>
    </w:p>
    <w:p w14:paraId="1B36D9DF" w14:textId="77777777" w:rsidR="0029317A" w:rsidRPr="00C75F9C" w:rsidRDefault="0029317A" w:rsidP="0029317A">
      <w:pPr>
        <w:tabs>
          <w:tab w:val="left" w:pos="5760"/>
        </w:tabs>
        <w:rPr>
          <w:sz w:val="20"/>
          <w:szCs w:val="20"/>
        </w:rPr>
      </w:pPr>
    </w:p>
    <w:p w14:paraId="2250FE0E" w14:textId="77777777" w:rsidR="00D738FE" w:rsidRDefault="00D738FE" w:rsidP="006529E9">
      <w:pPr>
        <w:tabs>
          <w:tab w:val="left" w:pos="5760"/>
        </w:tabs>
      </w:pPr>
    </w:p>
    <w:p w14:paraId="1D0AD1A2" w14:textId="77777777" w:rsidR="006529E9" w:rsidRDefault="006529E9" w:rsidP="006529E9">
      <w:pPr>
        <w:tabs>
          <w:tab w:val="left" w:pos="5760"/>
        </w:tabs>
      </w:pPr>
      <w:bookmarkStart w:id="0" w:name="_GoBack"/>
      <w:bookmarkEnd w:id="0"/>
    </w:p>
    <w:p w14:paraId="431901C7" w14:textId="77777777" w:rsidR="006529E9" w:rsidRPr="006529E9" w:rsidRDefault="006529E9" w:rsidP="006529E9">
      <w:pPr>
        <w:tabs>
          <w:tab w:val="left" w:pos="5760"/>
        </w:tabs>
        <w:rPr>
          <w:b/>
        </w:rPr>
      </w:pPr>
      <w:r w:rsidRPr="006529E9">
        <w:rPr>
          <w:b/>
        </w:rPr>
        <w:t>Change Record</w:t>
      </w:r>
    </w:p>
    <w:p w14:paraId="31660589" w14:textId="77777777" w:rsidR="006529E9" w:rsidRDefault="006529E9" w:rsidP="006529E9">
      <w:pPr>
        <w:tabs>
          <w:tab w:val="left" w:pos="57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341"/>
        <w:gridCol w:w="3601"/>
        <w:gridCol w:w="3905"/>
      </w:tblGrid>
      <w:tr w:rsidR="006529E9" w14:paraId="28FB8527" w14:textId="77777777" w:rsidTr="00A97F3F">
        <w:tc>
          <w:tcPr>
            <w:tcW w:w="1098" w:type="dxa"/>
          </w:tcPr>
          <w:p w14:paraId="31EF353B" w14:textId="77777777" w:rsidR="006529E9" w:rsidRPr="00A97F3F" w:rsidRDefault="006529E9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Rev.:</w:t>
            </w:r>
          </w:p>
        </w:tc>
        <w:tc>
          <w:tcPr>
            <w:tcW w:w="1350" w:type="dxa"/>
          </w:tcPr>
          <w:p w14:paraId="40D9F7D1" w14:textId="77777777" w:rsidR="006529E9" w:rsidRPr="00A97F3F" w:rsidRDefault="006529E9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3690" w:type="dxa"/>
          </w:tcPr>
          <w:p w14:paraId="0504EF89" w14:textId="77777777" w:rsidR="006529E9" w:rsidRPr="00A97F3F" w:rsidRDefault="006529E9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Responsible Person:</w:t>
            </w:r>
          </w:p>
        </w:tc>
        <w:tc>
          <w:tcPr>
            <w:tcW w:w="4014" w:type="dxa"/>
          </w:tcPr>
          <w:p w14:paraId="29660FBF" w14:textId="77777777" w:rsidR="006529E9" w:rsidRPr="00A97F3F" w:rsidRDefault="006529E9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Description of Change:</w:t>
            </w:r>
          </w:p>
          <w:p w14:paraId="4B76D5F9" w14:textId="77777777" w:rsidR="00683CBD" w:rsidRPr="00A97F3F" w:rsidRDefault="00683CBD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9E9" w14:paraId="0F6AB5E0" w14:textId="77777777" w:rsidTr="00A97F3F">
        <w:tc>
          <w:tcPr>
            <w:tcW w:w="1098" w:type="dxa"/>
          </w:tcPr>
          <w:p w14:paraId="542FFEE3" w14:textId="77777777" w:rsidR="006529E9" w:rsidRPr="00A97F3F" w:rsidRDefault="006529E9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50521C83" w14:textId="77777777" w:rsidR="006529E9" w:rsidRPr="00A97F3F" w:rsidRDefault="006529E9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01/07/03</w:t>
            </w:r>
          </w:p>
        </w:tc>
        <w:tc>
          <w:tcPr>
            <w:tcW w:w="3690" w:type="dxa"/>
          </w:tcPr>
          <w:p w14:paraId="791CA374" w14:textId="77777777" w:rsidR="006529E9" w:rsidRPr="00A97F3F" w:rsidRDefault="006529E9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M. Cadotte/Director of Admin.</w:t>
            </w:r>
          </w:p>
        </w:tc>
        <w:tc>
          <w:tcPr>
            <w:tcW w:w="4014" w:type="dxa"/>
          </w:tcPr>
          <w:p w14:paraId="5AB79F7C" w14:textId="77777777" w:rsidR="006529E9" w:rsidRPr="00A97F3F" w:rsidRDefault="006529E9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Initial Release</w:t>
            </w:r>
          </w:p>
          <w:p w14:paraId="516E4C1C" w14:textId="77777777" w:rsidR="00683CBD" w:rsidRPr="00A97F3F" w:rsidRDefault="00683CBD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9E9" w14:paraId="754DBD1C" w14:textId="77777777" w:rsidTr="00A97F3F">
        <w:tc>
          <w:tcPr>
            <w:tcW w:w="1098" w:type="dxa"/>
          </w:tcPr>
          <w:p w14:paraId="0BD014D7" w14:textId="77777777" w:rsidR="006529E9" w:rsidRPr="00A97F3F" w:rsidRDefault="006529E9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48BC3400" w14:textId="77777777" w:rsidR="006529E9" w:rsidRPr="00A97F3F" w:rsidRDefault="006529E9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04/10/03</w:t>
            </w:r>
          </w:p>
        </w:tc>
        <w:tc>
          <w:tcPr>
            <w:tcW w:w="3690" w:type="dxa"/>
          </w:tcPr>
          <w:p w14:paraId="7723D12B" w14:textId="77777777" w:rsidR="006529E9" w:rsidRPr="00A97F3F" w:rsidRDefault="006529E9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M. Cadotte/Director of Admin.</w:t>
            </w:r>
          </w:p>
        </w:tc>
        <w:tc>
          <w:tcPr>
            <w:tcW w:w="4014" w:type="dxa"/>
          </w:tcPr>
          <w:p w14:paraId="341C516A" w14:textId="77777777" w:rsidR="006529E9" w:rsidRPr="00A97F3F" w:rsidRDefault="006529E9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Addition of Sections 4.</w:t>
            </w:r>
            <w:r w:rsidR="00401174" w:rsidRPr="00A97F3F">
              <w:rPr>
                <w:rFonts w:ascii="Times New Roman" w:hAnsi="Times New Roman" w:cs="Times New Roman"/>
                <w:sz w:val="20"/>
                <w:szCs w:val="20"/>
              </w:rPr>
              <w:t>6 (Hazardous Material List), 4.5</w:t>
            </w: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1174" w:rsidRPr="00A97F3F">
              <w:rPr>
                <w:rFonts w:ascii="Times New Roman" w:hAnsi="Times New Roman" w:cs="Times New Roman"/>
                <w:sz w:val="20"/>
                <w:szCs w:val="20"/>
              </w:rPr>
              <w:t>(Pipes &amp; Piping Systems) and 4.7</w:t>
            </w: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 xml:space="preserve"> (Non-Routine Tasks)</w:t>
            </w:r>
          </w:p>
          <w:p w14:paraId="3D6C0D79" w14:textId="77777777" w:rsidR="00683CBD" w:rsidRPr="00A97F3F" w:rsidRDefault="00683CBD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9E9" w14:paraId="25EB98AF" w14:textId="77777777" w:rsidTr="00A97F3F">
        <w:tc>
          <w:tcPr>
            <w:tcW w:w="1098" w:type="dxa"/>
          </w:tcPr>
          <w:p w14:paraId="425CD96D" w14:textId="77777777" w:rsidR="006529E9" w:rsidRPr="00A97F3F" w:rsidRDefault="006529E9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7F0E06FB" w14:textId="77777777" w:rsidR="006529E9" w:rsidRPr="00A97F3F" w:rsidRDefault="006529E9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04/14/03</w:t>
            </w:r>
          </w:p>
        </w:tc>
        <w:tc>
          <w:tcPr>
            <w:tcW w:w="3690" w:type="dxa"/>
          </w:tcPr>
          <w:p w14:paraId="582EC9F6" w14:textId="77777777" w:rsidR="006529E9" w:rsidRPr="00A97F3F" w:rsidRDefault="006529E9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M. Cadotte/Director of Admin.</w:t>
            </w:r>
          </w:p>
        </w:tc>
        <w:tc>
          <w:tcPr>
            <w:tcW w:w="4014" w:type="dxa"/>
          </w:tcPr>
          <w:p w14:paraId="1606C919" w14:textId="77777777" w:rsidR="006529E9" w:rsidRPr="00A97F3F" w:rsidRDefault="00401174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Addition of Section 4.8</w:t>
            </w:r>
          </w:p>
          <w:p w14:paraId="1D5D78AF" w14:textId="77777777" w:rsidR="00683CBD" w:rsidRPr="00A97F3F" w:rsidRDefault="00683CBD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9E9" w14:paraId="2EEB3EFC" w14:textId="77777777" w:rsidTr="00A97F3F">
        <w:tc>
          <w:tcPr>
            <w:tcW w:w="1098" w:type="dxa"/>
          </w:tcPr>
          <w:p w14:paraId="5A4D3383" w14:textId="77777777" w:rsidR="006529E9" w:rsidRPr="00A97F3F" w:rsidRDefault="006529E9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EBDFC6F" w14:textId="77777777" w:rsidR="006529E9" w:rsidRPr="00A97F3F" w:rsidRDefault="006529E9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05/17/07</w:t>
            </w:r>
          </w:p>
        </w:tc>
        <w:tc>
          <w:tcPr>
            <w:tcW w:w="3690" w:type="dxa"/>
          </w:tcPr>
          <w:p w14:paraId="398A11FB" w14:textId="77777777" w:rsidR="006529E9" w:rsidRPr="00A97F3F" w:rsidRDefault="006529E9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M. Cadotte</w:t>
            </w:r>
          </w:p>
        </w:tc>
        <w:tc>
          <w:tcPr>
            <w:tcW w:w="4014" w:type="dxa"/>
          </w:tcPr>
          <w:p w14:paraId="00E093FE" w14:textId="77777777" w:rsidR="006529E9" w:rsidRPr="00A97F3F" w:rsidRDefault="00401174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Changes to Section 4.7</w:t>
            </w:r>
            <w:r w:rsidR="006529E9" w:rsidRPr="00A97F3F">
              <w:rPr>
                <w:rFonts w:ascii="Times New Roman" w:hAnsi="Times New Roman" w:cs="Times New Roman"/>
                <w:sz w:val="20"/>
                <w:szCs w:val="20"/>
              </w:rPr>
              <w:t>.3 Blood Borne Pathogen Cleanup Policy</w:t>
            </w:r>
          </w:p>
          <w:p w14:paraId="429A2787" w14:textId="77777777" w:rsidR="00683CBD" w:rsidRPr="00A97F3F" w:rsidRDefault="00683CBD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9E9" w14:paraId="2D42E026" w14:textId="77777777" w:rsidTr="00A97F3F">
        <w:tc>
          <w:tcPr>
            <w:tcW w:w="1098" w:type="dxa"/>
          </w:tcPr>
          <w:p w14:paraId="11DC1FCB" w14:textId="77777777" w:rsidR="006529E9" w:rsidRPr="00A97F3F" w:rsidRDefault="006529E9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44BC64D8" w14:textId="77777777" w:rsidR="006529E9" w:rsidRPr="00A97F3F" w:rsidRDefault="006529E9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08/13/09</w:t>
            </w:r>
          </w:p>
        </w:tc>
        <w:tc>
          <w:tcPr>
            <w:tcW w:w="3690" w:type="dxa"/>
          </w:tcPr>
          <w:p w14:paraId="0A7591DB" w14:textId="77777777" w:rsidR="006529E9" w:rsidRPr="00A97F3F" w:rsidRDefault="006529E9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M. Cadotte</w:t>
            </w:r>
          </w:p>
        </w:tc>
        <w:tc>
          <w:tcPr>
            <w:tcW w:w="4014" w:type="dxa"/>
          </w:tcPr>
          <w:p w14:paraId="5B693ACD" w14:textId="77777777" w:rsidR="006529E9" w:rsidRPr="00A97F3F" w:rsidRDefault="00401174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7F3F">
              <w:rPr>
                <w:rFonts w:ascii="Times New Roman" w:hAnsi="Times New Roman" w:cs="Times New Roman"/>
                <w:sz w:val="20"/>
                <w:szCs w:val="20"/>
              </w:rPr>
              <w:t>Creation of Sec. 4.3</w:t>
            </w:r>
            <w:r w:rsidR="006529E9" w:rsidRPr="00A97F3F">
              <w:rPr>
                <w:rFonts w:ascii="Times New Roman" w:hAnsi="Times New Roman" w:cs="Times New Roman"/>
                <w:sz w:val="20"/>
                <w:szCs w:val="20"/>
              </w:rPr>
              <w:t>.5 MSDS Audit Policy</w:t>
            </w:r>
          </w:p>
          <w:p w14:paraId="6F01A5CF" w14:textId="77777777" w:rsidR="00683CBD" w:rsidRPr="00A97F3F" w:rsidRDefault="00683CBD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9E9" w14:paraId="7D7A99D0" w14:textId="77777777" w:rsidTr="00A97F3F">
        <w:trPr>
          <w:trHeight w:val="404"/>
        </w:trPr>
        <w:tc>
          <w:tcPr>
            <w:tcW w:w="1098" w:type="dxa"/>
          </w:tcPr>
          <w:p w14:paraId="799DE5A5" w14:textId="77777777" w:rsidR="006529E9" w:rsidRPr="00A97F3F" w:rsidRDefault="00DE77B1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397FF4F6" w14:textId="77777777" w:rsidR="006529E9" w:rsidRPr="00A97F3F" w:rsidRDefault="00DE77B1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10/04/2011</w:t>
            </w:r>
          </w:p>
        </w:tc>
        <w:tc>
          <w:tcPr>
            <w:tcW w:w="3690" w:type="dxa"/>
          </w:tcPr>
          <w:p w14:paraId="7CE54B51" w14:textId="77777777" w:rsidR="006529E9" w:rsidRPr="00A97F3F" w:rsidRDefault="00DE77B1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Cadotte</w:t>
            </w:r>
          </w:p>
        </w:tc>
        <w:tc>
          <w:tcPr>
            <w:tcW w:w="4014" w:type="dxa"/>
          </w:tcPr>
          <w:p w14:paraId="03876D59" w14:textId="77777777" w:rsidR="006529E9" w:rsidRPr="00A97F3F" w:rsidRDefault="00DE77B1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Reference change:  MSDS to SDS / annual audit of policy.</w:t>
            </w:r>
          </w:p>
        </w:tc>
      </w:tr>
      <w:tr w:rsidR="006529E9" w14:paraId="65CFF659" w14:textId="77777777" w:rsidTr="00A97F3F">
        <w:trPr>
          <w:trHeight w:val="332"/>
        </w:trPr>
        <w:tc>
          <w:tcPr>
            <w:tcW w:w="1098" w:type="dxa"/>
          </w:tcPr>
          <w:p w14:paraId="636BC063" w14:textId="77777777" w:rsidR="006529E9" w:rsidRPr="00A97F3F" w:rsidRDefault="00AD2AA1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37C091AC" w14:textId="77777777" w:rsidR="006529E9" w:rsidRPr="00A97F3F" w:rsidRDefault="00AD2AA1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04/10/2012</w:t>
            </w:r>
          </w:p>
        </w:tc>
        <w:tc>
          <w:tcPr>
            <w:tcW w:w="3690" w:type="dxa"/>
          </w:tcPr>
          <w:p w14:paraId="71A1490D" w14:textId="77777777" w:rsidR="006529E9" w:rsidRPr="00A97F3F" w:rsidRDefault="00AD2AA1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Cadotte</w:t>
            </w:r>
          </w:p>
        </w:tc>
        <w:tc>
          <w:tcPr>
            <w:tcW w:w="4014" w:type="dxa"/>
          </w:tcPr>
          <w:p w14:paraId="537C6232" w14:textId="77777777" w:rsidR="006529E9" w:rsidRPr="00A97F3F" w:rsidRDefault="00AD2AA1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section inserted as 4.2 – Chemical Disposition</w:t>
            </w:r>
          </w:p>
        </w:tc>
      </w:tr>
      <w:tr w:rsidR="00AD2AA1" w14:paraId="67B74E64" w14:textId="77777777" w:rsidTr="00A97F3F">
        <w:trPr>
          <w:trHeight w:val="332"/>
        </w:trPr>
        <w:tc>
          <w:tcPr>
            <w:tcW w:w="1098" w:type="dxa"/>
          </w:tcPr>
          <w:p w14:paraId="762A9A88" w14:textId="77777777" w:rsidR="00AD2AA1" w:rsidRDefault="000567FA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5B774A51" w14:textId="77777777" w:rsidR="00AD2AA1" w:rsidRDefault="000567FA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2/7/2014</w:t>
            </w:r>
          </w:p>
        </w:tc>
        <w:tc>
          <w:tcPr>
            <w:tcW w:w="3690" w:type="dxa"/>
          </w:tcPr>
          <w:p w14:paraId="0A6AE975" w14:textId="77777777" w:rsidR="00AD2AA1" w:rsidRDefault="000567FA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Cadotte, VP Safety &amp; Quality</w:t>
            </w:r>
          </w:p>
        </w:tc>
        <w:tc>
          <w:tcPr>
            <w:tcW w:w="4014" w:type="dxa"/>
          </w:tcPr>
          <w:p w14:paraId="428AF3C9" w14:textId="77777777" w:rsidR="00AD2AA1" w:rsidRDefault="000567FA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to reflect SDS Global Harmonization</w:t>
            </w:r>
          </w:p>
        </w:tc>
      </w:tr>
      <w:tr w:rsidR="0049790A" w14:paraId="0434C192" w14:textId="77777777" w:rsidTr="00A97F3F">
        <w:trPr>
          <w:trHeight w:val="332"/>
        </w:trPr>
        <w:tc>
          <w:tcPr>
            <w:tcW w:w="1098" w:type="dxa"/>
          </w:tcPr>
          <w:p w14:paraId="7E475380" w14:textId="77777777" w:rsidR="0049790A" w:rsidRDefault="0049790A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14:paraId="115B5B66" w14:textId="77777777" w:rsidR="0049790A" w:rsidRDefault="0049790A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04/10/15</w:t>
            </w:r>
          </w:p>
        </w:tc>
        <w:tc>
          <w:tcPr>
            <w:tcW w:w="3690" w:type="dxa"/>
          </w:tcPr>
          <w:p w14:paraId="78CE224E" w14:textId="77777777" w:rsidR="0049790A" w:rsidRDefault="0049790A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Audit</w:t>
            </w:r>
          </w:p>
        </w:tc>
        <w:tc>
          <w:tcPr>
            <w:tcW w:w="4014" w:type="dxa"/>
          </w:tcPr>
          <w:p w14:paraId="17070AC4" w14:textId="77777777" w:rsidR="0049790A" w:rsidRDefault="0049790A" w:rsidP="003E5C24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 Audit</w:t>
            </w:r>
            <w:r w:rsidR="008236A9">
              <w:rPr>
                <w:rFonts w:ascii="Times New Roman" w:hAnsi="Times New Roman" w:cs="Times New Roman"/>
                <w:sz w:val="20"/>
                <w:szCs w:val="20"/>
              </w:rPr>
              <w:t xml:space="preserve">. Changes in naming, responsible party and </w:t>
            </w:r>
            <w:r w:rsidR="003E5C24">
              <w:rPr>
                <w:sz w:val="20"/>
                <w:szCs w:val="20"/>
              </w:rPr>
              <w:t>§</w:t>
            </w:r>
            <w:r w:rsidR="008236A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 w:rsidR="003E5C24">
              <w:rPr>
                <w:rFonts w:ascii="Times New Roman" w:hAnsi="Times New Roman" w:cs="Times New Roman"/>
                <w:sz w:val="20"/>
                <w:szCs w:val="20"/>
              </w:rPr>
              <w:t xml:space="preserve"> and addition of </w:t>
            </w:r>
            <w:r w:rsidR="003E5C24">
              <w:rPr>
                <w:sz w:val="20"/>
                <w:szCs w:val="20"/>
              </w:rPr>
              <w:t>§</w:t>
            </w:r>
            <w:r w:rsidR="003E5C24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</w:tr>
      <w:tr w:rsidR="00CA6C11" w14:paraId="06165FE5" w14:textId="77777777" w:rsidTr="00A97F3F">
        <w:trPr>
          <w:trHeight w:val="332"/>
        </w:trPr>
        <w:tc>
          <w:tcPr>
            <w:tcW w:w="1098" w:type="dxa"/>
          </w:tcPr>
          <w:p w14:paraId="76F2B2A3" w14:textId="77777777" w:rsidR="00CA6C11" w:rsidRDefault="00CA6C11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14:paraId="57BC04AF" w14:textId="77777777" w:rsidR="00CA6C11" w:rsidRDefault="00CA6C11" w:rsidP="00A97F3F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11/30/15</w:t>
            </w:r>
          </w:p>
        </w:tc>
        <w:tc>
          <w:tcPr>
            <w:tcW w:w="3690" w:type="dxa"/>
          </w:tcPr>
          <w:p w14:paraId="630C95F3" w14:textId="77777777" w:rsidR="00CA6C11" w:rsidRDefault="00CA6C11" w:rsidP="00A97F3F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 Cadotte</w:t>
            </w:r>
          </w:p>
        </w:tc>
        <w:tc>
          <w:tcPr>
            <w:tcW w:w="4014" w:type="dxa"/>
          </w:tcPr>
          <w:p w14:paraId="74E16616" w14:textId="77777777" w:rsidR="00CA6C11" w:rsidRDefault="00CA6C11" w:rsidP="003E5C24">
            <w:pPr>
              <w:tabs>
                <w:tab w:val="left" w:pos="5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Enhanced spill containment information in section 4.10</w:t>
            </w:r>
          </w:p>
        </w:tc>
      </w:tr>
    </w:tbl>
    <w:p w14:paraId="23697816" w14:textId="77777777" w:rsidR="00E36F73" w:rsidRDefault="00E36F73"/>
    <w:p w14:paraId="203097B2" w14:textId="77777777" w:rsidR="00597A10" w:rsidRDefault="00597A10" w:rsidP="00E36F73">
      <w:pPr>
        <w:numPr>
          <w:ilvl w:val="0"/>
          <w:numId w:val="1"/>
        </w:numPr>
        <w:sectPr w:rsidR="00597A10" w:rsidSect="00D56DC5">
          <w:headerReference w:type="default" r:id="rId9"/>
          <w:footerReference w:type="default" r:id="rId10"/>
          <w:pgSz w:w="12240" w:h="15840" w:code="1"/>
          <w:pgMar w:top="1152" w:right="1152" w:bottom="1152" w:left="1152" w:header="1080" w:footer="432" w:gutter="0"/>
          <w:cols w:space="720"/>
          <w:docGrid w:linePitch="360"/>
        </w:sectPr>
      </w:pPr>
    </w:p>
    <w:p w14:paraId="033847E2" w14:textId="08BE60D2" w:rsidR="006529E9" w:rsidRPr="008959F9" w:rsidRDefault="00A1729C" w:rsidP="00E36F73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Propósito</w:t>
      </w:r>
      <w:r w:rsidR="00F659FD">
        <w:rPr>
          <w:b/>
        </w:rPr>
        <w:t xml:space="preserve"> </w:t>
      </w:r>
    </w:p>
    <w:p w14:paraId="212A4FC4" w14:textId="4F8D1DB9" w:rsidR="00E36F73" w:rsidRPr="00377384" w:rsidRDefault="00CB2B7E" w:rsidP="00E36F73">
      <w:pPr>
        <w:ind w:left="360"/>
        <w:rPr>
          <w:color w:val="9BBB59"/>
        </w:rPr>
      </w:pPr>
      <w:r>
        <w:t>E</w:t>
      </w:r>
      <w:r w:rsidR="009A7CB4">
        <w:t>stablecer una política</w:t>
      </w:r>
      <w:r w:rsidR="00F659FD">
        <w:t xml:space="preserve"> escrita </w:t>
      </w:r>
      <w:r w:rsidR="000E0EF8">
        <w:t>para la comunicación de riesgos</w:t>
      </w:r>
      <w:r w:rsidR="009A7CB4">
        <w:t xml:space="preserve"> para </w:t>
      </w:r>
      <w:r w:rsidR="002308F7">
        <w:t>Contract Direct - US</w:t>
      </w:r>
      <w:r w:rsidR="009A7CB4">
        <w:t xml:space="preserve"> qu</w:t>
      </w:r>
      <w:r w:rsidR="009D71BF">
        <w:t>e es</w:t>
      </w:r>
      <w:r w:rsidR="00C82C25">
        <w:t>té</w:t>
      </w:r>
      <w:r w:rsidR="009D71BF">
        <w:t xml:space="preserve"> en cumplimiento con</w:t>
      </w:r>
      <w:r w:rsidR="00F324DD">
        <w:t xml:space="preserve"> OSHA (Administración de Seguridad y Salud) </w:t>
      </w:r>
      <w:r w:rsidR="009A7CB4">
        <w:t>y departamento</w:t>
      </w:r>
      <w:r w:rsidR="00F324DD">
        <w:t>s</w:t>
      </w:r>
      <w:r w:rsidR="009A7CB4">
        <w:t xml:space="preserve"> </w:t>
      </w:r>
      <w:r w:rsidR="003C53D9">
        <w:t xml:space="preserve">estatales </w:t>
      </w:r>
      <w:r w:rsidR="009A7CB4">
        <w:t>de OSHA</w:t>
      </w:r>
      <w:r w:rsidR="00D50CE2">
        <w:t>.</w:t>
      </w:r>
    </w:p>
    <w:p w14:paraId="6F42E18D" w14:textId="77777777" w:rsidR="00E36F73" w:rsidRDefault="00E36F73" w:rsidP="00E36F73"/>
    <w:p w14:paraId="73D3DCC6" w14:textId="2667D6E8" w:rsidR="00E36F73" w:rsidRPr="008959F9" w:rsidRDefault="006B1C15" w:rsidP="00E36F73">
      <w:pPr>
        <w:numPr>
          <w:ilvl w:val="0"/>
          <w:numId w:val="1"/>
        </w:numPr>
        <w:rPr>
          <w:b/>
        </w:rPr>
      </w:pPr>
      <w:r>
        <w:rPr>
          <w:b/>
        </w:rPr>
        <w:t xml:space="preserve">Alcance </w:t>
      </w:r>
    </w:p>
    <w:p w14:paraId="21C99031" w14:textId="78AC403E" w:rsidR="00E36F73" w:rsidRDefault="002308F7" w:rsidP="00E36F73">
      <w:pPr>
        <w:ind w:left="360"/>
      </w:pPr>
      <w:r>
        <w:t xml:space="preserve">La siguiente política de comunicación de riesgos se establece para TODOS </w:t>
      </w:r>
      <w:r w:rsidR="00BF031B">
        <w:t xml:space="preserve">los empleados de </w:t>
      </w:r>
      <w:r>
        <w:t xml:space="preserve">Contract Direct </w:t>
      </w:r>
      <w:r w:rsidR="00BF031B">
        <w:t>–</w:t>
      </w:r>
      <w:r>
        <w:t xml:space="preserve"> US</w:t>
      </w:r>
      <w:r w:rsidR="00BF031B">
        <w:t xml:space="preserve"> y se pondrá a disposición a través de:</w:t>
      </w:r>
      <w:r>
        <w:t xml:space="preserve"> </w:t>
      </w:r>
    </w:p>
    <w:p w14:paraId="4CAD6FCE" w14:textId="77777777" w:rsidR="007D3073" w:rsidRDefault="007D3073" w:rsidP="007D3073">
      <w:pPr>
        <w:ind w:left="720"/>
      </w:pPr>
    </w:p>
    <w:p w14:paraId="34A72108" w14:textId="70317485" w:rsidR="00E36F73" w:rsidRDefault="00BF031B" w:rsidP="00E36F73">
      <w:pPr>
        <w:numPr>
          <w:ilvl w:val="0"/>
          <w:numId w:val="2"/>
        </w:numPr>
      </w:pPr>
      <w:r>
        <w:t xml:space="preserve">Departamento de Recursos Humanos </w:t>
      </w:r>
    </w:p>
    <w:p w14:paraId="0AAAF8AA" w14:textId="344FF29A" w:rsidR="00E36F73" w:rsidRDefault="00BF031B" w:rsidP="00E36F73">
      <w:pPr>
        <w:numPr>
          <w:ilvl w:val="0"/>
          <w:numId w:val="2"/>
        </w:numPr>
      </w:pPr>
      <w:r>
        <w:t xml:space="preserve">Publicaciones </w:t>
      </w:r>
      <w:r w:rsidR="00827311">
        <w:t>en e</w:t>
      </w:r>
      <w:r>
        <w:t xml:space="preserve">l sitio de Trabajo </w:t>
      </w:r>
    </w:p>
    <w:p w14:paraId="5C12538B" w14:textId="7A1AC127" w:rsidR="00E36F73" w:rsidRDefault="00BF031B" w:rsidP="00E36F73">
      <w:pPr>
        <w:numPr>
          <w:ilvl w:val="0"/>
          <w:numId w:val="2"/>
        </w:numPr>
      </w:pPr>
      <w:r>
        <w:t xml:space="preserve">Departamento de Seguridad </w:t>
      </w:r>
    </w:p>
    <w:p w14:paraId="461BE7C4" w14:textId="77777777" w:rsidR="00E36F73" w:rsidRDefault="00E36F73" w:rsidP="00E36F73"/>
    <w:p w14:paraId="3797361A" w14:textId="57EED23B" w:rsidR="00E36F73" w:rsidRPr="008959F9" w:rsidRDefault="00BF031B" w:rsidP="00E36F73">
      <w:pPr>
        <w:numPr>
          <w:ilvl w:val="0"/>
          <w:numId w:val="1"/>
        </w:numPr>
        <w:rPr>
          <w:b/>
        </w:rPr>
      </w:pPr>
      <w:r>
        <w:rPr>
          <w:b/>
        </w:rPr>
        <w:t xml:space="preserve">Responsabilidad </w:t>
      </w:r>
    </w:p>
    <w:p w14:paraId="3F034C80" w14:textId="3AEEDF74" w:rsidR="00E36F73" w:rsidRDefault="00BF031B" w:rsidP="0051188A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</w:pPr>
      <w:r>
        <w:t>Director Nacional de Seguridad</w:t>
      </w:r>
      <w:r w:rsidR="00137AAA">
        <w:t xml:space="preserve"> – Tiene la autoridad y responsabilidad general para implementar y supervisar los programas de seguridad en Contract Direct </w:t>
      </w:r>
      <w:r w:rsidR="00A250E6">
        <w:t>–</w:t>
      </w:r>
      <w:r w:rsidR="00137AAA">
        <w:t xml:space="preserve"> US</w:t>
      </w:r>
      <w:r w:rsidR="00A250E6">
        <w:t>.</w:t>
      </w:r>
      <w:r w:rsidR="00137AAA">
        <w:t xml:space="preserve"> </w:t>
      </w:r>
      <w:r>
        <w:t xml:space="preserve"> </w:t>
      </w:r>
    </w:p>
    <w:p w14:paraId="7C9AA828" w14:textId="5B3DB371" w:rsidR="008959F9" w:rsidRPr="00377384" w:rsidRDefault="00137AAA" w:rsidP="0051188A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color w:val="9BBB59"/>
        </w:rPr>
      </w:pPr>
      <w:r>
        <w:t xml:space="preserve">Comité de Seguridad </w:t>
      </w:r>
      <w:r w:rsidR="00E120FE">
        <w:t>– Es respons</w:t>
      </w:r>
      <w:r w:rsidR="00EC00F5">
        <w:t>a</w:t>
      </w:r>
      <w:r w:rsidR="00E120FE">
        <w:t>ble de supervisar el programa de seguridad, el desarro</w:t>
      </w:r>
      <w:r w:rsidR="00EC00F5">
        <w:t>ll</w:t>
      </w:r>
      <w:r w:rsidR="00E120FE">
        <w:t>o de programas de entrenamiento, la investigación de nuevos productos de seguridad y la coordinación de todos los esfuerzos relacionados con la seguridad dentro de la empresa</w:t>
      </w:r>
      <w:r w:rsidR="00A250E6">
        <w:t>.</w:t>
      </w:r>
    </w:p>
    <w:p w14:paraId="543208AE" w14:textId="78FF27E6" w:rsidR="008959F9" w:rsidRPr="00377384" w:rsidRDefault="00D32740" w:rsidP="0051188A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color w:val="9BBB59"/>
        </w:rPr>
      </w:pPr>
      <w:r>
        <w:t xml:space="preserve">Empleados – Cada uno de los empleados en Contract Direct – US tienen la responsabilidad primaria de cumplir con todas las políticas de seguridad, </w:t>
      </w:r>
      <w:r w:rsidR="00EC00F5">
        <w:t>normas</w:t>
      </w:r>
      <w:r>
        <w:t xml:space="preserve"> y leyes. Además, cada empleado debe reportar cualquier condición insegura y/o accidente a su supervisor de inmediato</w:t>
      </w:r>
      <w:r w:rsidR="00A250E6">
        <w:t>.</w:t>
      </w:r>
    </w:p>
    <w:p w14:paraId="1E83E8AF" w14:textId="77777777" w:rsidR="008959F9" w:rsidRDefault="008959F9" w:rsidP="008959F9">
      <w:pPr>
        <w:ind w:left="810"/>
      </w:pPr>
    </w:p>
    <w:p w14:paraId="45824383" w14:textId="6997ACAC" w:rsidR="008959F9" w:rsidRDefault="00F10976" w:rsidP="008959F9">
      <w:pPr>
        <w:numPr>
          <w:ilvl w:val="0"/>
          <w:numId w:val="1"/>
        </w:numPr>
        <w:rPr>
          <w:b/>
        </w:rPr>
      </w:pPr>
      <w:r>
        <w:rPr>
          <w:b/>
        </w:rPr>
        <w:t xml:space="preserve">Procedimiento </w:t>
      </w:r>
    </w:p>
    <w:p w14:paraId="3164CC70" w14:textId="5D818EC4" w:rsidR="008959F9" w:rsidRDefault="00F10976" w:rsidP="004F4D87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</w:pPr>
      <w:r>
        <w:t xml:space="preserve">Determinación de Riesgo  </w:t>
      </w:r>
    </w:p>
    <w:p w14:paraId="0303A1FC" w14:textId="6FAA9CAF" w:rsidR="008959F9" w:rsidRDefault="003D44BC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 xml:space="preserve">Contract Direct dependerá en las </w:t>
      </w:r>
      <w:r w:rsidR="00052437">
        <w:t>Fichas</w:t>
      </w:r>
      <w:r>
        <w:t xml:space="preserve"> de Dato</w:t>
      </w:r>
      <w:r w:rsidR="00052437">
        <w:t>s</w:t>
      </w:r>
      <w:r>
        <w:t xml:space="preserve"> de Seguridad</w:t>
      </w:r>
      <w:r w:rsidRPr="003D44BC">
        <w:t xml:space="preserve"> </w:t>
      </w:r>
      <w:r>
        <w:t>(</w:t>
      </w:r>
      <w:r w:rsidR="00F13C14">
        <w:t xml:space="preserve">llamado antes Materiales de </w:t>
      </w:r>
      <w:r w:rsidR="00052437">
        <w:t>Fichas</w:t>
      </w:r>
      <w:r>
        <w:t xml:space="preserve"> de Dato</w:t>
      </w:r>
      <w:r w:rsidR="00A250E6">
        <w:t>s</w:t>
      </w:r>
      <w:r>
        <w:t xml:space="preserve"> de Seguridad) obtenidas de nuestros proveedores de productos para satisfacer los requisitos de </w:t>
      </w:r>
      <w:r w:rsidR="00052437">
        <w:t>factores</w:t>
      </w:r>
      <w:r>
        <w:t xml:space="preserve"> de riesgo. </w:t>
      </w:r>
    </w:p>
    <w:p w14:paraId="3D69E3FD" w14:textId="32F53DFD" w:rsidR="008959F9" w:rsidRPr="00377384" w:rsidRDefault="00003B8D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  <w:rPr>
          <w:color w:val="9BBB59"/>
        </w:rPr>
      </w:pPr>
      <w:r>
        <w:t>Ficha</w:t>
      </w:r>
      <w:r w:rsidR="004A658E">
        <w:t>s</w:t>
      </w:r>
      <w:r w:rsidR="00964495">
        <w:t xml:space="preserve"> de Dato</w:t>
      </w:r>
      <w:r>
        <w:t>s</w:t>
      </w:r>
      <w:r w:rsidR="00964495">
        <w:t xml:space="preserve"> de Seguridad</w:t>
      </w:r>
      <w:r w:rsidR="00964495" w:rsidRPr="003D44BC">
        <w:t xml:space="preserve"> </w:t>
      </w:r>
      <w:r w:rsidR="00964495">
        <w:t>serán colocados en cada lugar de trabajo y puesto a disposic</w:t>
      </w:r>
      <w:r>
        <w:t>i</w:t>
      </w:r>
      <w:r w:rsidR="00964495">
        <w:t xml:space="preserve">ón de los empleados. </w:t>
      </w:r>
    </w:p>
    <w:p w14:paraId="225C3788" w14:textId="4EF1B6E0" w:rsidR="002F1DCB" w:rsidRPr="00377384" w:rsidRDefault="00964495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  <w:rPr>
          <w:color w:val="9BBB59"/>
        </w:rPr>
      </w:pPr>
      <w:r>
        <w:t>Los empleados no traerán productos no autorizados al lugar de trabajo, tampoco el empleado mezclará producto</w:t>
      </w:r>
      <w:r w:rsidR="005E5BB4">
        <w:t>s no destinados a ser mezclados</w:t>
      </w:r>
      <w:r w:rsidR="007C0AD5">
        <w:t xml:space="preserve"> </w:t>
      </w:r>
      <w:r w:rsidR="005E5BB4">
        <w:t>/</w:t>
      </w:r>
      <w:r w:rsidR="007C0AD5">
        <w:t xml:space="preserve"> </w:t>
      </w:r>
      <w:r>
        <w:t xml:space="preserve">sin autorización. </w:t>
      </w:r>
    </w:p>
    <w:p w14:paraId="46CB25FC" w14:textId="06305805" w:rsidR="00AD2AA1" w:rsidRDefault="00476265" w:rsidP="00AD2AA1">
      <w:pPr>
        <w:numPr>
          <w:ilvl w:val="1"/>
          <w:numId w:val="1"/>
        </w:numPr>
      </w:pPr>
      <w:r>
        <w:t xml:space="preserve">Eliminación de </w:t>
      </w:r>
      <w:r w:rsidR="00003B8D">
        <w:t xml:space="preserve">Productos </w:t>
      </w:r>
      <w:r>
        <w:t>Químico</w:t>
      </w:r>
      <w:r w:rsidR="00003B8D">
        <w:t>s</w:t>
      </w:r>
      <w:r w:rsidR="001514F6">
        <w:t xml:space="preserve"> </w:t>
      </w:r>
    </w:p>
    <w:p w14:paraId="7A7D1C9E" w14:textId="5BBDCDE3" w:rsidR="00AD2AA1" w:rsidRPr="00694969" w:rsidRDefault="00226FCA" w:rsidP="00AD2AA1">
      <w:pPr>
        <w:numPr>
          <w:ilvl w:val="2"/>
          <w:numId w:val="1"/>
        </w:numPr>
        <w:ind w:left="1620" w:hanging="720"/>
        <w:rPr>
          <w:color w:val="9BBB59"/>
        </w:rPr>
      </w:pPr>
      <w:r>
        <w:t xml:space="preserve">Contract Direct – US </w:t>
      </w:r>
      <w:r w:rsidR="00C227F4">
        <w:t>deberá seguir todos los regl</w:t>
      </w:r>
      <w:r w:rsidR="00C70F03">
        <w:t xml:space="preserve">amentos locales, estatales y federales </w:t>
      </w:r>
      <w:r w:rsidR="00C227F4">
        <w:t>y leyes en lo que respec</w:t>
      </w:r>
      <w:r w:rsidR="00476265">
        <w:t>ta a la disposición de</w:t>
      </w:r>
      <w:r w:rsidR="00C227F4">
        <w:t xml:space="preserve"> </w:t>
      </w:r>
      <w:r w:rsidR="00F9375C">
        <w:t>producto</w:t>
      </w:r>
      <w:r w:rsidR="001A3953">
        <w:t xml:space="preserve"> </w:t>
      </w:r>
      <w:r w:rsidR="00F9375C">
        <w:t>químico</w:t>
      </w:r>
      <w:r w:rsidR="00C227F4">
        <w:t xml:space="preserve"> (u</w:t>
      </w:r>
      <w:r w:rsidR="001A3953">
        <w:t>sado</w:t>
      </w:r>
      <w:r w:rsidR="00C227F4">
        <w:t>, mezclado o concentrado).</w:t>
      </w:r>
      <w:r w:rsidR="009D7689">
        <w:t xml:space="preserve"> </w:t>
      </w:r>
    </w:p>
    <w:p w14:paraId="2CBFE511" w14:textId="33873F65" w:rsidR="00AD2AA1" w:rsidRDefault="001A3953" w:rsidP="00AD2AA1">
      <w:pPr>
        <w:numPr>
          <w:ilvl w:val="2"/>
          <w:numId w:val="1"/>
        </w:numPr>
        <w:ind w:left="1620" w:hanging="720"/>
      </w:pPr>
      <w:r>
        <w:t>El producto q</w:t>
      </w:r>
      <w:r w:rsidR="000A2476">
        <w:t>uímico</w:t>
      </w:r>
      <w:r w:rsidR="00BE04CA">
        <w:t xml:space="preserve"> que r</w:t>
      </w:r>
      <w:r w:rsidR="001D72EB">
        <w:t>equiera</w:t>
      </w:r>
      <w:r w:rsidR="00523FE5">
        <w:t xml:space="preserve"> eliminación se</w:t>
      </w:r>
      <w:r w:rsidR="00C92D45">
        <w:t xml:space="preserve"> </w:t>
      </w:r>
      <w:r>
        <w:t xml:space="preserve">hará </w:t>
      </w:r>
      <w:r w:rsidR="00C92D45">
        <w:t>(al menos que sea requerido</w:t>
      </w:r>
      <w:r w:rsidR="00BE04CA">
        <w:t xml:space="preserve"> por la ley para ser des</w:t>
      </w:r>
      <w:r>
        <w:t>echados de una manera específic</w:t>
      </w:r>
      <w:r w:rsidR="00BE04CA">
        <w:t xml:space="preserve">a diferente </w:t>
      </w:r>
      <w:r w:rsidR="00523FE5">
        <w:t>de</w:t>
      </w:r>
      <w:r w:rsidR="00BE04CA">
        <w:t xml:space="preserve"> 4.2.2) en los desagües sanitarios tales como </w:t>
      </w:r>
      <w:r w:rsidR="005E5BB4">
        <w:t>lavado de conserje</w:t>
      </w:r>
      <w:r w:rsidR="00722FAE">
        <w:t>/</w:t>
      </w:r>
      <w:r w:rsidR="00BE04CA">
        <w:t xml:space="preserve">drenaje o inodoros.  </w:t>
      </w:r>
    </w:p>
    <w:p w14:paraId="58C386D4" w14:textId="1148A907" w:rsidR="00AD2AA1" w:rsidRDefault="00806836" w:rsidP="00AD2AA1">
      <w:pPr>
        <w:numPr>
          <w:ilvl w:val="2"/>
          <w:numId w:val="1"/>
        </w:numPr>
        <w:ind w:left="1620" w:hanging="720"/>
      </w:pPr>
      <w:r>
        <w:lastRenderedPageBreak/>
        <w:t xml:space="preserve">Ningún </w:t>
      </w:r>
      <w:r w:rsidR="001A3953">
        <w:t xml:space="preserve">producto </w:t>
      </w:r>
      <w:r>
        <w:t xml:space="preserve">químico, solución con </w:t>
      </w:r>
      <w:r w:rsidR="00F84BB6">
        <w:t>producto químico</w:t>
      </w:r>
      <w:r>
        <w:t xml:space="preserve"> o agua que cont</w:t>
      </w:r>
      <w:r w:rsidR="006D3EF4">
        <w:t>enga</w:t>
      </w:r>
      <w:r>
        <w:t xml:space="preserve"> sucio de la limpieza</w:t>
      </w:r>
      <w:r w:rsidR="005430AB">
        <w:t xml:space="preserve"> se dispondrá en superficies</w:t>
      </w:r>
      <w:r w:rsidR="00D820ED">
        <w:t xml:space="preserve"> de tierra</w:t>
      </w:r>
      <w:r w:rsidR="005430AB">
        <w:t>, superficies exteriores pavimentadas o</w:t>
      </w:r>
      <w:r w:rsidR="00605760">
        <w:t xml:space="preserve"> cualquier tipo de</w:t>
      </w:r>
      <w:r w:rsidR="005430AB">
        <w:t xml:space="preserve"> </w:t>
      </w:r>
      <w:r w:rsidR="006D3EF4">
        <w:t>desagüe</w:t>
      </w:r>
      <w:r w:rsidR="00605760">
        <w:t xml:space="preserve"> </w:t>
      </w:r>
      <w:r w:rsidR="00F3280F">
        <w:t>u</w:t>
      </w:r>
      <w:r w:rsidR="00605760">
        <w:t xml:space="preserve"> otro drenaje que </w:t>
      </w:r>
      <w:r w:rsidR="001A3953">
        <w:t>se desvie de</w:t>
      </w:r>
      <w:r w:rsidR="00070AA4">
        <w:t xml:space="preserve"> los sistemas de alcantarilla sanitaria</w:t>
      </w:r>
      <w:r w:rsidR="006D3EF4">
        <w:t>.</w:t>
      </w:r>
      <w:r w:rsidR="00605760">
        <w:t xml:space="preserve"> </w:t>
      </w:r>
      <w:r w:rsidR="00D820ED">
        <w:t xml:space="preserve"> </w:t>
      </w:r>
    </w:p>
    <w:p w14:paraId="2276BAA2" w14:textId="40FB31C7" w:rsidR="00AD2AA1" w:rsidRDefault="00FD0ECB" w:rsidP="000C736A">
      <w:pPr>
        <w:numPr>
          <w:ilvl w:val="2"/>
          <w:numId w:val="1"/>
        </w:numPr>
        <w:ind w:left="1620" w:hanging="720"/>
      </w:pPr>
      <w:r>
        <w:t xml:space="preserve">Al desechar de </w:t>
      </w:r>
      <w:r w:rsidR="000C736A">
        <w:t xml:space="preserve">los productos </w:t>
      </w:r>
      <w:r>
        <w:t>químicos los empleados deberán mantener la norma de Equipo de Protección Personal p</w:t>
      </w:r>
      <w:r w:rsidR="00865E17">
        <w:t>ara</w:t>
      </w:r>
      <w:r>
        <w:t xml:space="preserve"> manejo de </w:t>
      </w:r>
      <w:r w:rsidR="000C736A">
        <w:t xml:space="preserve">productos </w:t>
      </w:r>
      <w:r>
        <w:t>químico</w:t>
      </w:r>
      <w:r w:rsidR="00865E17">
        <w:t xml:space="preserve">s </w:t>
      </w:r>
      <w:r w:rsidR="000C736A">
        <w:t>incluyendo</w:t>
      </w:r>
      <w:r w:rsidR="00865E17">
        <w:t xml:space="preserve"> como mínimo, protección de las manos y de los ojos. </w:t>
      </w:r>
    </w:p>
    <w:p w14:paraId="3FE2A2E2" w14:textId="77777777" w:rsidR="00AD2AA1" w:rsidRDefault="00AD2AA1" w:rsidP="00AD2AA1">
      <w:pPr>
        <w:ind w:left="1620"/>
      </w:pPr>
    </w:p>
    <w:p w14:paraId="748F7D42" w14:textId="77777777" w:rsidR="002F1DCB" w:rsidRDefault="002F1DCB" w:rsidP="002F1DCB"/>
    <w:p w14:paraId="3FC53FEB" w14:textId="0A00A8A0" w:rsidR="002F1DCB" w:rsidRDefault="00E22E69" w:rsidP="002F1DCB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</w:pPr>
      <w:r>
        <w:t xml:space="preserve">Etiquetado </w:t>
      </w:r>
    </w:p>
    <w:p w14:paraId="0D31E66D" w14:textId="5651BA2C" w:rsidR="002F1DCB" w:rsidRDefault="00E240B7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 xml:space="preserve">El coordinador del </w:t>
      </w:r>
      <w:r w:rsidR="0069684E">
        <w:t>lugar</w:t>
      </w:r>
      <w:r>
        <w:t xml:space="preserve"> o coordinador del área será responsable</w:t>
      </w:r>
      <w:r w:rsidR="0069684E">
        <w:t xml:space="preserve"> de ver que todos los contenedores que entran en el lugar de trabajo estén debidamente etiquetados.</w:t>
      </w:r>
      <w:r>
        <w:t xml:space="preserve">  </w:t>
      </w:r>
    </w:p>
    <w:p w14:paraId="4E61A516" w14:textId="7F6DAD37" w:rsidR="002F1DCB" w:rsidRPr="00694969" w:rsidRDefault="00117D39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  <w:rPr>
          <w:color w:val="9BBB59"/>
        </w:rPr>
      </w:pPr>
      <w:r>
        <w:t>Cada empleado es también</w:t>
      </w:r>
      <w:r w:rsidR="00C31826">
        <w:t xml:space="preserve"> responsable de asegurar que tod</w:t>
      </w:r>
      <w:r>
        <w:t>o</w:t>
      </w:r>
      <w:r w:rsidR="00C31826">
        <w:t>s</w:t>
      </w:r>
      <w:r>
        <w:t xml:space="preserve"> los contenedores portátiles utilizados en su lugar de trabajo estén etiquetados con la identidad adecuada y la advertencias de peligro y colocados en contenedores o dispensadores autorizados/aprobados. </w:t>
      </w:r>
      <w:r w:rsidR="00704924">
        <w:t>La falta de etiquetar e/o informar las etiquetas</w:t>
      </w:r>
      <w:r w:rsidR="00C20414">
        <w:t xml:space="preserve"> que faltan en el producto(s)</w:t>
      </w:r>
      <w:r>
        <w:t xml:space="preserve"> </w:t>
      </w:r>
      <w:r w:rsidR="00D21879">
        <w:t>resultará en medida(s) di</w:t>
      </w:r>
      <w:r w:rsidR="00C20414">
        <w:t>sciplinaria(s).</w:t>
      </w:r>
      <w:r>
        <w:t xml:space="preserve"> </w:t>
      </w:r>
    </w:p>
    <w:p w14:paraId="13070D65" w14:textId="7CDFE103" w:rsidR="002F1DCB" w:rsidRDefault="00BD3BAC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 xml:space="preserve">Todas las etiquetas deberán ser revisadas para: </w:t>
      </w:r>
    </w:p>
    <w:p w14:paraId="10998B59" w14:textId="33C81C10" w:rsidR="007B338A" w:rsidRDefault="00C31826" w:rsidP="004F4D87">
      <w:pPr>
        <w:numPr>
          <w:ilvl w:val="3"/>
          <w:numId w:val="1"/>
        </w:numPr>
        <w:tabs>
          <w:tab w:val="num" w:pos="2520"/>
        </w:tabs>
        <w:ind w:left="2520" w:hanging="900"/>
      </w:pPr>
      <w:r>
        <w:t xml:space="preserve">Identidad de material </w:t>
      </w:r>
    </w:p>
    <w:p w14:paraId="6D839CE3" w14:textId="1EE961EA" w:rsidR="00F35C3F" w:rsidRDefault="00130F78" w:rsidP="004F4D87">
      <w:pPr>
        <w:numPr>
          <w:ilvl w:val="3"/>
          <w:numId w:val="1"/>
        </w:numPr>
        <w:tabs>
          <w:tab w:val="num" w:pos="2520"/>
        </w:tabs>
        <w:ind w:left="2520" w:hanging="900"/>
      </w:pPr>
      <w:r>
        <w:t xml:space="preserve">Advertencia de </w:t>
      </w:r>
      <w:r w:rsidR="0085194F">
        <w:t>riesgo</w:t>
      </w:r>
      <w:r w:rsidR="00C90768">
        <w:t xml:space="preserve"> adecuada</w:t>
      </w:r>
      <w:r>
        <w:t xml:space="preserve"> para el material cuando sea apropiado </w:t>
      </w:r>
    </w:p>
    <w:p w14:paraId="6D269C36" w14:textId="77777777" w:rsidR="00F35C3F" w:rsidRDefault="00F35C3F" w:rsidP="00F35C3F"/>
    <w:p w14:paraId="7D43A53F" w14:textId="2EBB1394" w:rsidR="00F35C3F" w:rsidRDefault="00C90768" w:rsidP="007B7944">
      <w:pPr>
        <w:keepNext/>
        <w:keepLines/>
        <w:numPr>
          <w:ilvl w:val="1"/>
          <w:numId w:val="1"/>
        </w:numPr>
        <w:tabs>
          <w:tab w:val="clear" w:pos="792"/>
          <w:tab w:val="num" w:pos="900"/>
        </w:tabs>
        <w:ind w:left="900" w:hanging="540"/>
      </w:pPr>
      <w:r>
        <w:t>Fichas</w:t>
      </w:r>
      <w:r w:rsidR="003C2D03">
        <w:t xml:space="preserve"> de Datos de Seguridad (SDS por sus siglas en inglés)</w:t>
      </w:r>
      <w:r w:rsidR="006A7CCA">
        <w:t xml:space="preserve"> </w:t>
      </w:r>
    </w:p>
    <w:p w14:paraId="272755CD" w14:textId="2875AEEE" w:rsidR="00F35C3F" w:rsidRPr="005E1EDD" w:rsidRDefault="001505B9" w:rsidP="007B7944">
      <w:pPr>
        <w:keepNext/>
        <w:keepLines/>
        <w:numPr>
          <w:ilvl w:val="2"/>
          <w:numId w:val="1"/>
        </w:numPr>
        <w:tabs>
          <w:tab w:val="clear" w:pos="1440"/>
          <w:tab w:val="num" w:pos="1620"/>
        </w:tabs>
        <w:ind w:left="1620" w:hanging="720"/>
        <w:rPr>
          <w:color w:val="9BBB59" w:themeColor="accent3"/>
        </w:rPr>
      </w:pPr>
      <w:r>
        <w:t>El departamento de Com</w:t>
      </w:r>
      <w:r w:rsidR="00E86590">
        <w:t xml:space="preserve">pra será responsable por </w:t>
      </w:r>
      <w:r w:rsidR="00C90768">
        <w:t>reunir</w:t>
      </w:r>
      <w:r w:rsidR="00E86590">
        <w:t xml:space="preserve"> y mantener</w:t>
      </w:r>
      <w:r w:rsidR="005E1EDD">
        <w:t xml:space="preserve"> un archivo maestro de</w:t>
      </w:r>
      <w:r>
        <w:t xml:space="preserve"> </w:t>
      </w:r>
      <w:r w:rsidR="00F42FE6">
        <w:t>Fichas</w:t>
      </w:r>
      <w:r>
        <w:t xml:space="preserve"> de Datos de Seguridad. </w:t>
      </w:r>
      <w:r w:rsidR="005E1EDD">
        <w:t xml:space="preserve"> El archivo se mantendrá en la oficina de Southfield </w:t>
      </w:r>
      <w:r w:rsidR="005E1EDD" w:rsidRPr="005E1EDD">
        <w:rPr>
          <w:color w:val="9BBB59"/>
        </w:rPr>
        <w:t>(</w:t>
      </w:r>
      <w:r w:rsidR="005E1EDD" w:rsidRPr="005E1EDD">
        <w:rPr>
          <w:color w:val="000000" w:themeColor="text1"/>
        </w:rPr>
        <w:t xml:space="preserve">24300 Southfield Road, Suite 220, Southfield, Michigan 48075) </w:t>
      </w:r>
      <w:r w:rsidR="005E1EDD">
        <w:rPr>
          <w:color w:val="000000" w:themeColor="text1"/>
        </w:rPr>
        <w:t>en el Departamento de Compras.</w:t>
      </w:r>
    </w:p>
    <w:p w14:paraId="2B137350" w14:textId="2523A50E" w:rsidR="00F35C3F" w:rsidRDefault="00C72E4D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 xml:space="preserve">Cada lugar de trabajo tendrá su propio libro de </w:t>
      </w:r>
      <w:r w:rsidR="00F42FE6">
        <w:t>Fichas</w:t>
      </w:r>
      <w:r>
        <w:t xml:space="preserve"> de Datos de Segurida</w:t>
      </w:r>
      <w:r w:rsidR="00DC2FB3">
        <w:t>d</w:t>
      </w:r>
      <w:r>
        <w:t xml:space="preserve"> disponible para </w:t>
      </w:r>
      <w:r w:rsidR="00F42FE6">
        <w:t xml:space="preserve">que </w:t>
      </w:r>
      <w:r>
        <w:t>los empleados</w:t>
      </w:r>
      <w:r w:rsidR="00F42FE6">
        <w:t xml:space="preserve"> lo revisen durante cada turno de trabajo</w:t>
      </w:r>
      <w:r>
        <w:t>.</w:t>
      </w:r>
      <w:r w:rsidR="00231481">
        <w:t xml:space="preserve"> </w:t>
      </w:r>
      <w:r w:rsidR="00F42FE6">
        <w:t>Las c</w:t>
      </w:r>
      <w:r w:rsidR="00231481">
        <w:t>opias estarán disponible bajo petición al supervisor inmediato del empleado o el director de la seguridad</w:t>
      </w:r>
    </w:p>
    <w:p w14:paraId="243B95BD" w14:textId="39135267" w:rsidR="00F35C3F" w:rsidRPr="00D5097D" w:rsidRDefault="00D5097D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  <w:rPr>
          <w:color w:val="9BBB59" w:themeColor="accent3"/>
        </w:rPr>
      </w:pPr>
      <w:r>
        <w:t xml:space="preserve">Carteles de notificación/información de </w:t>
      </w:r>
      <w:r w:rsidR="004A681E">
        <w:t>Fichas</w:t>
      </w:r>
      <w:r w:rsidR="00DC2FB3">
        <w:t xml:space="preserve"> de Datos de Seguridad</w:t>
      </w:r>
      <w:r w:rsidR="00C4456C">
        <w:t xml:space="preserve"> serán publicados en el lugar de trabajo dirigiendo a los empleados a la ubicación donde el libro de </w:t>
      </w:r>
      <w:r w:rsidR="004A681E">
        <w:t>Fichas</w:t>
      </w:r>
      <w:r w:rsidR="00C4456C">
        <w:t xml:space="preserve"> de Datos de Seguridad se encuentra para esa ubicación. </w:t>
      </w:r>
    </w:p>
    <w:p w14:paraId="1CEC26B0" w14:textId="245AF929" w:rsidR="00F35C3F" w:rsidRDefault="00540EAA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 xml:space="preserve">Si las </w:t>
      </w:r>
      <w:r w:rsidR="004A681E">
        <w:t>Fichas</w:t>
      </w:r>
      <w:r>
        <w:t xml:space="preserve"> de Datos de Seguridad necesarias no se han recibido, el Departamento de Compras deberá notificar </w:t>
      </w:r>
      <w:r w:rsidR="00031727">
        <w:t>a</w:t>
      </w:r>
      <w:r w:rsidR="00BB3325">
        <w:t xml:space="preserve">l vendedor adecuado para </w:t>
      </w:r>
      <w:r w:rsidR="004A681E">
        <w:t>su</w:t>
      </w:r>
      <w:r w:rsidR="00BB3325">
        <w:t xml:space="preserve"> cumplimiento.</w:t>
      </w:r>
      <w:r>
        <w:t xml:space="preserve"> </w:t>
      </w:r>
      <w:r w:rsidR="004A681E">
        <w:t xml:space="preserve">De no cumplir el vendedor </w:t>
      </w:r>
      <w:r w:rsidR="000F3B46">
        <w:t xml:space="preserve">después de dos (2) solicitudes </w:t>
      </w:r>
      <w:r w:rsidR="004A681E">
        <w:t>resultará en</w:t>
      </w:r>
      <w:r w:rsidR="000F3B46">
        <w:t xml:space="preserve"> la notificación a la División de Salud Ocupacional de OSHA (Local o Federal) o </w:t>
      </w:r>
      <w:r w:rsidR="004A681E">
        <w:t xml:space="preserve">a </w:t>
      </w:r>
      <w:r w:rsidR="000F3B46">
        <w:t xml:space="preserve">la </w:t>
      </w:r>
      <w:r w:rsidR="00A210DF">
        <w:t>Dirección General de</w:t>
      </w:r>
      <w:r w:rsidR="004A681E">
        <w:t xml:space="preserve"> </w:t>
      </w:r>
      <w:r w:rsidR="00A210DF">
        <w:t xml:space="preserve">Seguridad Industrial </w:t>
      </w:r>
      <w:r w:rsidR="000F3B46">
        <w:t>para asistencia</w:t>
      </w:r>
    </w:p>
    <w:p w14:paraId="309AA303" w14:textId="7E8F0A9D" w:rsidR="00CA25ED" w:rsidRDefault="008B3A6D" w:rsidP="00CF7159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 xml:space="preserve">Auditoría - </w:t>
      </w:r>
      <w:r w:rsidR="004A681E">
        <w:t>C</w:t>
      </w:r>
      <w:r w:rsidR="004260ED">
        <w:t xml:space="preserve">ada lugar de trabajo deberá auditar </w:t>
      </w:r>
      <w:r w:rsidR="004A681E">
        <w:t xml:space="preserve">anualmente </w:t>
      </w:r>
      <w:r w:rsidR="004260ED">
        <w:t>su libro de</w:t>
      </w:r>
      <w:r w:rsidR="00E17AA3">
        <w:t xml:space="preserve"> </w:t>
      </w:r>
      <w:r w:rsidR="004A681E">
        <w:t>Fichas</w:t>
      </w:r>
      <w:r w:rsidR="00E17AA3">
        <w:t xml:space="preserve"> de Datos de Seguridad </w:t>
      </w:r>
      <w:r w:rsidR="005D65F2">
        <w:t xml:space="preserve">y verificar que </w:t>
      </w:r>
      <w:r w:rsidR="004A681E">
        <w:t xml:space="preserve">dicho </w:t>
      </w:r>
      <w:r w:rsidR="005D65F2">
        <w:t xml:space="preserve">libro </w:t>
      </w:r>
      <w:r w:rsidR="004A681E">
        <w:t xml:space="preserve">que esté </w:t>
      </w:r>
      <w:r w:rsidR="00E17AA3">
        <w:t xml:space="preserve">en archivo </w:t>
      </w:r>
      <w:r w:rsidR="00CF7159">
        <w:t>sea</w:t>
      </w:r>
      <w:r w:rsidR="00E17AA3">
        <w:t xml:space="preserve"> la revisión más reciente.</w:t>
      </w:r>
      <w:r w:rsidR="00136688">
        <w:t xml:space="preserve"> Un registro de revisiones deberá mantenerse con el libro de </w:t>
      </w:r>
      <w:r w:rsidR="00CF7159">
        <w:t>Fichas</w:t>
      </w:r>
      <w:r w:rsidR="00136688">
        <w:t xml:space="preserve"> de Datos de Seguridad como una </w:t>
      </w:r>
      <w:r w:rsidR="00CF7159">
        <w:t>señal</w:t>
      </w:r>
      <w:r w:rsidR="00136688">
        <w:t xml:space="preserve"> de auditoría para </w:t>
      </w:r>
      <w:r w:rsidR="00B72DC5">
        <w:t xml:space="preserve">la </w:t>
      </w:r>
      <w:r w:rsidR="00136688">
        <w:t>veri</w:t>
      </w:r>
      <w:r w:rsidR="00B72DC5">
        <w:t>fi</w:t>
      </w:r>
      <w:r w:rsidR="00136688">
        <w:t>cación</w:t>
      </w:r>
      <w:r w:rsidR="00B72DC5">
        <w:t xml:space="preserve"> de esta política.</w:t>
      </w:r>
      <w:r w:rsidR="00E17AA3">
        <w:t xml:space="preserve"> </w:t>
      </w:r>
    </w:p>
    <w:p w14:paraId="376C7611" w14:textId="4F9BAA06" w:rsidR="00495DD0" w:rsidRDefault="000C60D9" w:rsidP="00495DD0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</w:pPr>
      <w:r>
        <w:t xml:space="preserve">Entrenamiento </w:t>
      </w:r>
    </w:p>
    <w:p w14:paraId="56FA4B0F" w14:textId="21D68984" w:rsidR="00495DD0" w:rsidRDefault="001876BC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 xml:space="preserve">El Departamento de Recursos Humanos </w:t>
      </w:r>
      <w:r w:rsidR="003D235B">
        <w:t>llevará el siguiente entrenamiento</w:t>
      </w:r>
      <w:r w:rsidR="000A2850">
        <w:t xml:space="preserve"> relaci</w:t>
      </w:r>
      <w:r w:rsidR="0042666A">
        <w:t>onado con la seguridad antes de que</w:t>
      </w:r>
      <w:r w:rsidR="000A2850">
        <w:t xml:space="preserve"> el empleado entre al lugar de trabajo:</w:t>
      </w:r>
      <w:r w:rsidR="003D235B">
        <w:t xml:space="preserve"> </w:t>
      </w:r>
    </w:p>
    <w:p w14:paraId="5B1E52F8" w14:textId="3E66558F" w:rsidR="00495DD0" w:rsidRDefault="0042666A" w:rsidP="004F4D87">
      <w:pPr>
        <w:numPr>
          <w:ilvl w:val="0"/>
          <w:numId w:val="4"/>
        </w:numPr>
        <w:tabs>
          <w:tab w:val="clear" w:pos="2232"/>
        </w:tabs>
        <w:ind w:left="1980" w:hanging="360"/>
      </w:pPr>
      <w:r>
        <w:t xml:space="preserve">Patógenos Transmitidos por la Sangre </w:t>
      </w:r>
    </w:p>
    <w:p w14:paraId="3561C9BD" w14:textId="05D40A04" w:rsidR="00495DD0" w:rsidRDefault="000001F2" w:rsidP="004F4D87">
      <w:pPr>
        <w:numPr>
          <w:ilvl w:val="0"/>
          <w:numId w:val="4"/>
        </w:numPr>
        <w:tabs>
          <w:tab w:val="clear" w:pos="2232"/>
        </w:tabs>
        <w:ind w:left="1980" w:hanging="360"/>
      </w:pPr>
      <w:r>
        <w:t>Fichas</w:t>
      </w:r>
      <w:r w:rsidR="0042666A">
        <w:t xml:space="preserve"> de Datos de Seguridad </w:t>
      </w:r>
    </w:p>
    <w:p w14:paraId="038522BE" w14:textId="5351D7E3" w:rsidR="00495DD0" w:rsidRDefault="0042666A" w:rsidP="004F4D87">
      <w:pPr>
        <w:numPr>
          <w:ilvl w:val="0"/>
          <w:numId w:val="4"/>
        </w:numPr>
        <w:tabs>
          <w:tab w:val="clear" w:pos="2232"/>
        </w:tabs>
        <w:ind w:left="1980" w:hanging="360"/>
      </w:pPr>
      <w:r>
        <w:t>Revis</w:t>
      </w:r>
      <w:r w:rsidR="000001F2">
        <w:t>ión</w:t>
      </w:r>
      <w:r>
        <w:t xml:space="preserve"> de políticas de comunicación/seguridad</w:t>
      </w:r>
      <w:r w:rsidR="00F06F92">
        <w:t xml:space="preserve"> de</w:t>
      </w:r>
      <w:r>
        <w:t xml:space="preserve"> riesgos</w:t>
      </w:r>
      <w:r w:rsidR="00F06F92">
        <w:t xml:space="preserve"> </w:t>
      </w:r>
    </w:p>
    <w:p w14:paraId="4ADB65B8" w14:textId="77777777" w:rsidR="00D9128C" w:rsidRPr="00D9128C" w:rsidRDefault="00E168C1" w:rsidP="00401174">
      <w:pPr>
        <w:numPr>
          <w:ilvl w:val="0"/>
          <w:numId w:val="4"/>
        </w:numPr>
        <w:tabs>
          <w:tab w:val="clear" w:pos="2232"/>
        </w:tabs>
        <w:ind w:left="2340" w:hanging="360"/>
        <w:rPr>
          <w:color w:val="9BBB59" w:themeColor="accent3"/>
        </w:rPr>
      </w:pPr>
      <w:r>
        <w:t xml:space="preserve">Los empleados deberán ser informados que: </w:t>
      </w:r>
    </w:p>
    <w:p w14:paraId="01446DEB" w14:textId="45C6F5DC" w:rsidR="0078124F" w:rsidRPr="00D9128C" w:rsidRDefault="00D9128C" w:rsidP="00D9128C">
      <w:pPr>
        <w:ind w:left="2340"/>
        <w:rPr>
          <w:color w:val="9BBB59" w:themeColor="accent3"/>
        </w:rPr>
      </w:pPr>
      <w:r>
        <w:t xml:space="preserve">- </w:t>
      </w:r>
      <w:r w:rsidR="00010B48" w:rsidRPr="00D9128C">
        <w:rPr>
          <w:b/>
        </w:rPr>
        <w:t>La empresa está prohibida de despedir o discriminar en contra de un empleado que ejerce su derecho de obtener información</w:t>
      </w:r>
      <w:r w:rsidR="00E54D5F" w:rsidRPr="00D9128C">
        <w:rPr>
          <w:b/>
        </w:rPr>
        <w:t xml:space="preserve"> sobre los productos químicos </w:t>
      </w:r>
      <w:r w:rsidR="00E63FAC">
        <w:rPr>
          <w:b/>
        </w:rPr>
        <w:t>de alto riesgos</w:t>
      </w:r>
      <w:r w:rsidR="00E54D5F" w:rsidRPr="00D9128C">
        <w:rPr>
          <w:b/>
        </w:rPr>
        <w:t xml:space="preserve"> que </w:t>
      </w:r>
      <w:r>
        <w:rPr>
          <w:b/>
        </w:rPr>
        <w:t xml:space="preserve">sean </w:t>
      </w:r>
      <w:r w:rsidR="006218E1" w:rsidRPr="00D9128C">
        <w:rPr>
          <w:b/>
        </w:rPr>
        <w:t>utilizados</w:t>
      </w:r>
      <w:r w:rsidR="00E54D5F" w:rsidRPr="00D9128C">
        <w:rPr>
          <w:b/>
        </w:rPr>
        <w:t xml:space="preserve"> en el lugar de trabajo</w:t>
      </w:r>
      <w:r w:rsidR="00E61BAC" w:rsidRPr="00D9128C">
        <w:rPr>
          <w:b/>
        </w:rPr>
        <w:t>.</w:t>
      </w:r>
      <w:r w:rsidR="00010B48">
        <w:t xml:space="preserve">  </w:t>
      </w:r>
    </w:p>
    <w:p w14:paraId="39397B28" w14:textId="77777777" w:rsidR="0078124F" w:rsidRDefault="0078124F" w:rsidP="0078124F">
      <w:pPr>
        <w:tabs>
          <w:tab w:val="left" w:pos="2340"/>
        </w:tabs>
        <w:ind w:left="3240"/>
      </w:pPr>
    </w:p>
    <w:p w14:paraId="6D367C81" w14:textId="77777777" w:rsidR="0051004C" w:rsidRDefault="0051004C" w:rsidP="0078124F">
      <w:pPr>
        <w:tabs>
          <w:tab w:val="left" w:pos="2340"/>
        </w:tabs>
        <w:ind w:left="3240"/>
      </w:pPr>
    </w:p>
    <w:p w14:paraId="5E535766" w14:textId="77777777" w:rsidR="0051004C" w:rsidRDefault="0051004C" w:rsidP="0078124F">
      <w:pPr>
        <w:tabs>
          <w:tab w:val="left" w:pos="2340"/>
        </w:tabs>
        <w:ind w:left="3240"/>
      </w:pPr>
    </w:p>
    <w:p w14:paraId="3E4CCBAE" w14:textId="2A0B6D85" w:rsidR="0078124F" w:rsidRDefault="0075174E" w:rsidP="0078124F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 xml:space="preserve">El gerente/coordinador/entrenador deberá </w:t>
      </w:r>
      <w:r w:rsidR="009E4914">
        <w:t>revisar todo</w:t>
      </w:r>
      <w:r w:rsidR="00087F8A">
        <w:t>s lo</w:t>
      </w:r>
      <w:r w:rsidR="00A60F9F">
        <w:t xml:space="preserve">s </w:t>
      </w:r>
      <w:r w:rsidR="002A5672">
        <w:t>asuntos relacionados co</w:t>
      </w:r>
      <w:r w:rsidR="009E4914">
        <w:t>n</w:t>
      </w:r>
      <w:r w:rsidR="002A5672">
        <w:t xml:space="preserve"> la</w:t>
      </w:r>
      <w:r w:rsidR="005D063F">
        <w:t xml:space="preserve"> seguridad </w:t>
      </w:r>
      <w:r w:rsidR="002A5672">
        <w:t xml:space="preserve">en </w:t>
      </w:r>
      <w:r w:rsidR="00681E3F">
        <w:t xml:space="preserve">el lugar de trabajo </w:t>
      </w:r>
      <w:r w:rsidR="005D063F">
        <w:t>con los empleados.</w:t>
      </w:r>
      <w:r w:rsidR="00087F8A">
        <w:t xml:space="preserve"> </w:t>
      </w:r>
      <w:r w:rsidR="002A5672">
        <w:t>A todos los empleados se le dará regularmente una revisión en materia específicamente de seguridad como repaso para el beneficio del empleado.</w:t>
      </w:r>
      <w:r w:rsidR="0067356B">
        <w:t xml:space="preserve"> Entrenamiento de </w:t>
      </w:r>
      <w:r w:rsidR="002A5672">
        <w:t>Fichas</w:t>
      </w:r>
      <w:r w:rsidR="0067356B">
        <w:t xml:space="preserve"> de Datos de Seguridad y Patógenos Transmitidos por la Sangre serán </w:t>
      </w:r>
      <w:r w:rsidR="00147AB7">
        <w:t>revisados</w:t>
      </w:r>
      <w:r w:rsidR="0067356B">
        <w:t xml:space="preserve"> anualmente</w:t>
      </w:r>
      <w:r w:rsidR="00BC31FB">
        <w:t>.</w:t>
      </w:r>
      <w:r>
        <w:t xml:space="preserve"> </w:t>
      </w:r>
    </w:p>
    <w:p w14:paraId="232EB412" w14:textId="77777777" w:rsidR="00495DD0" w:rsidRDefault="00495DD0" w:rsidP="00495DD0"/>
    <w:p w14:paraId="51BED28E" w14:textId="3B64792A" w:rsidR="00495DD0" w:rsidRDefault="00A95B85" w:rsidP="00495DD0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</w:pPr>
      <w:r>
        <w:t>Tuberías y Sistema</w:t>
      </w:r>
      <w:r w:rsidR="00846EC6">
        <w:t>s</w:t>
      </w:r>
      <w:r>
        <w:t xml:space="preserve"> de Tuberí</w:t>
      </w:r>
      <w:r w:rsidR="00F02BF0">
        <w:t>a</w:t>
      </w:r>
      <w:r>
        <w:t xml:space="preserve"> </w:t>
      </w:r>
    </w:p>
    <w:p w14:paraId="20A07E62" w14:textId="0304757E" w:rsidR="00495DD0" w:rsidRPr="00576BB0" w:rsidRDefault="00846EC6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  <w:rPr>
          <w:color w:val="9BBB59" w:themeColor="accent3"/>
        </w:rPr>
      </w:pPr>
      <w:r>
        <w:t>Información de los contenidos peligrosos de la tubería y sistemas de tubería</w:t>
      </w:r>
      <w:r w:rsidR="001257D6">
        <w:t xml:space="preserve"> </w:t>
      </w:r>
      <w:r w:rsidR="00993E2A">
        <w:t>serán identificados por el propietario</w:t>
      </w:r>
      <w:r w:rsidR="00D46688">
        <w:t xml:space="preserve">(s) de la </w:t>
      </w:r>
      <w:r w:rsidR="00586055">
        <w:t>instalación</w:t>
      </w:r>
      <w:r w:rsidR="00D46688">
        <w:t>(es)</w:t>
      </w:r>
      <w:r w:rsidR="0057321A">
        <w:t xml:space="preserve"> </w:t>
      </w:r>
      <w:r w:rsidR="001257D6">
        <w:t>al cual</w:t>
      </w:r>
      <w:r w:rsidR="0057321A">
        <w:t xml:space="preserve"> nosotros </w:t>
      </w:r>
      <w:r w:rsidR="00BC6F53">
        <w:t xml:space="preserve">damos servicio </w:t>
      </w:r>
      <w:r w:rsidR="001257D6">
        <w:t>o</w:t>
      </w:r>
      <w:r w:rsidR="00BC6F53">
        <w:t xml:space="preserve"> alquilamos espacio (</w:t>
      </w:r>
      <w:r w:rsidR="001257D6">
        <w:t xml:space="preserve">en </w:t>
      </w:r>
      <w:r w:rsidR="00BC6F53">
        <w:t xml:space="preserve">nuestras oficinas) </w:t>
      </w:r>
      <w:r w:rsidR="008958CF">
        <w:t xml:space="preserve">ya </w:t>
      </w:r>
      <w:r w:rsidR="00F4234A">
        <w:t>que Contract Direct no administra</w:t>
      </w:r>
      <w:r w:rsidR="008958CF">
        <w:t xml:space="preserve"> o son propietarios de sus propias </w:t>
      </w:r>
      <w:r w:rsidR="00264DD0">
        <w:t>instalaciones</w:t>
      </w:r>
      <w:r w:rsidR="004323C0">
        <w:t xml:space="preserve"> de </w:t>
      </w:r>
      <w:r w:rsidR="008958CF">
        <w:t>oficinas</w:t>
      </w:r>
      <w:r w:rsidR="00F4234A">
        <w:t>.</w:t>
      </w:r>
      <w:r w:rsidR="00AE489B">
        <w:t xml:space="preserve"> Para referencia del empleado, el ANSI A13.1-1981 recomienda las siguientes</w:t>
      </w:r>
      <w:r w:rsidR="0095118F">
        <w:t xml:space="preserve"> coloración</w:t>
      </w:r>
      <w:r w:rsidR="001257D6">
        <w:t>es</w:t>
      </w:r>
      <w:r w:rsidR="0095118F">
        <w:t>:</w:t>
      </w:r>
      <w:r w:rsidR="005116CA">
        <w:t xml:space="preserve"> azul para oxígeno bajo-medio y líneas de aire compri</w:t>
      </w:r>
      <w:r w:rsidR="001257D6">
        <w:t>mi</w:t>
      </w:r>
      <w:r w:rsidR="005116CA">
        <w:t>dos</w:t>
      </w:r>
      <w:r w:rsidR="00AC2A21">
        <w:t>,</w:t>
      </w:r>
      <w:r w:rsidR="001257D6">
        <w:t xml:space="preserve"> amarillo para oxígeno de presión variable-alta</w:t>
      </w:r>
      <w:r w:rsidR="001257D6" w:rsidRPr="001257D6">
        <w:t xml:space="preserve"> </w:t>
      </w:r>
      <w:r w:rsidR="001257D6">
        <w:t>y líneas de aire comprimidos</w:t>
      </w:r>
      <w:r w:rsidR="007E2186">
        <w:t xml:space="preserve">, </w:t>
      </w:r>
      <w:r w:rsidR="001257D6">
        <w:t xml:space="preserve">     </w:t>
      </w:r>
      <w:r w:rsidR="00AC2A21">
        <w:t xml:space="preserve"> amarillo para lí</w:t>
      </w:r>
      <w:r w:rsidR="00DC73EB">
        <w:t>neas de acetileno</w:t>
      </w:r>
      <w:r w:rsidR="00AC2A21">
        <w:t xml:space="preserve"> y gas natural.</w:t>
      </w:r>
      <w:r w:rsidR="005116CA">
        <w:t xml:space="preserve"> </w:t>
      </w:r>
    </w:p>
    <w:p w14:paraId="481D458D" w14:textId="77777777" w:rsidR="00495DD0" w:rsidRDefault="00495DD0" w:rsidP="00495DD0"/>
    <w:p w14:paraId="260204CC" w14:textId="2EEF3E6D" w:rsidR="00495DD0" w:rsidRDefault="00A50E38" w:rsidP="000B73BD">
      <w:pPr>
        <w:keepNext/>
        <w:keepLines/>
        <w:numPr>
          <w:ilvl w:val="1"/>
          <w:numId w:val="1"/>
        </w:numPr>
        <w:tabs>
          <w:tab w:val="clear" w:pos="792"/>
          <w:tab w:val="num" w:pos="900"/>
        </w:tabs>
        <w:ind w:left="900" w:hanging="540"/>
      </w:pPr>
      <w:r>
        <w:t xml:space="preserve">Lista de </w:t>
      </w:r>
      <w:r w:rsidR="00F779BA">
        <w:t xml:space="preserve">Productos </w:t>
      </w:r>
      <w:r>
        <w:t xml:space="preserve">Químicos de </w:t>
      </w:r>
      <w:r w:rsidR="005076AF">
        <w:t>Alto Riesgo</w:t>
      </w:r>
      <w:r>
        <w:t xml:space="preserve"> </w:t>
      </w:r>
    </w:p>
    <w:p w14:paraId="367EC008" w14:textId="13755219" w:rsidR="00495DD0" w:rsidRDefault="00A50E38" w:rsidP="000B73BD">
      <w:pPr>
        <w:keepNext/>
        <w:keepLines/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 xml:space="preserve">Una lista de </w:t>
      </w:r>
      <w:r w:rsidR="00B753CB">
        <w:t xml:space="preserve">productos </w:t>
      </w:r>
      <w:r>
        <w:t xml:space="preserve">químicos peligrosos </w:t>
      </w:r>
      <w:r w:rsidR="00B753CB">
        <w:t>deberá ser publicado</w:t>
      </w:r>
      <w:r>
        <w:t xml:space="preserve"> en los lugares de trabajo donde esos </w:t>
      </w:r>
      <w:r w:rsidR="00981FA6">
        <w:t xml:space="preserve">productos </w:t>
      </w:r>
      <w:r>
        <w:t>químicos están en uso</w:t>
      </w:r>
      <w:r w:rsidR="00BC31FB">
        <w:t>.</w:t>
      </w:r>
      <w:r w:rsidR="008236A9">
        <w:t xml:space="preserve"> </w:t>
      </w:r>
    </w:p>
    <w:p w14:paraId="3799B60B" w14:textId="51507877" w:rsidR="008236A9" w:rsidRDefault="002A6C02" w:rsidP="00A83C2D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 w:rsidRPr="00406364">
        <w:t xml:space="preserve">Todos los </w:t>
      </w:r>
      <w:r w:rsidR="00981FA6" w:rsidRPr="00406364">
        <w:t xml:space="preserve">productos </w:t>
      </w:r>
      <w:r w:rsidRPr="00406364">
        <w:t>químicos utilizados (</w:t>
      </w:r>
      <w:r w:rsidR="00981FA6" w:rsidRPr="00406364">
        <w:t>ya sea con frec</w:t>
      </w:r>
      <w:r w:rsidRPr="00406364">
        <w:t xml:space="preserve">uencia o no) </w:t>
      </w:r>
      <w:r w:rsidR="00B944CF" w:rsidRPr="00406364">
        <w:t>serán pa</w:t>
      </w:r>
      <w:r w:rsidR="00867AB2" w:rsidRPr="00406364">
        <w:t xml:space="preserve">rte del libro de </w:t>
      </w:r>
      <w:r w:rsidR="00981FA6" w:rsidRPr="00406364">
        <w:t>Fichas</w:t>
      </w:r>
      <w:r w:rsidR="00867AB2" w:rsidRPr="00406364">
        <w:t xml:space="preserve"> de Datos</w:t>
      </w:r>
      <w:r w:rsidR="00B944CF" w:rsidRPr="00406364">
        <w:t xml:space="preserve"> de Seguridad</w:t>
      </w:r>
      <w:r w:rsidR="00BC7A6E" w:rsidRPr="00406364">
        <w:t xml:space="preserve"> </w:t>
      </w:r>
      <w:r w:rsidR="00981FA6" w:rsidRPr="00406364">
        <w:t>publicados</w:t>
      </w:r>
      <w:r w:rsidR="00BC7A6E" w:rsidRPr="00406364">
        <w:t xml:space="preserve"> en el lugar.</w:t>
      </w:r>
      <w:r w:rsidR="00867AB2">
        <w:t xml:space="preserve">  </w:t>
      </w:r>
    </w:p>
    <w:p w14:paraId="1EE9943F" w14:textId="77777777" w:rsidR="003F6516" w:rsidRDefault="003F6516" w:rsidP="003F6516">
      <w:pPr>
        <w:ind w:left="900"/>
      </w:pPr>
    </w:p>
    <w:p w14:paraId="01E8FCF9" w14:textId="75473941" w:rsidR="003F6516" w:rsidRDefault="00BC31FB" w:rsidP="003F6516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</w:pPr>
      <w:r>
        <w:t>Tareas</w:t>
      </w:r>
      <w:r w:rsidR="00AA5973">
        <w:t xml:space="preserve"> de Alto Riesgo </w:t>
      </w:r>
      <w:r w:rsidR="000C1935">
        <w:t xml:space="preserve">no Rutinarias </w:t>
      </w:r>
    </w:p>
    <w:p w14:paraId="623D85E4" w14:textId="7A10E3C5" w:rsidR="003F6516" w:rsidRPr="00991083" w:rsidRDefault="00991083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  <w:rPr>
          <w:color w:val="9BBB59" w:themeColor="accent3"/>
        </w:rPr>
      </w:pPr>
      <w:r>
        <w:t xml:space="preserve">En el </w:t>
      </w:r>
      <w:r w:rsidR="00AF6EEC">
        <w:t>evento</w:t>
      </w:r>
      <w:r w:rsidR="00E64062">
        <w:t xml:space="preserve"> de que los empleados sean</w:t>
      </w:r>
      <w:r>
        <w:t xml:space="preserve"> requ</w:t>
      </w:r>
      <w:r w:rsidR="00AA5973">
        <w:t>e</w:t>
      </w:r>
      <w:r>
        <w:t xml:space="preserve">ridos </w:t>
      </w:r>
      <w:r w:rsidR="00AA5973">
        <w:t xml:space="preserve">para </w:t>
      </w:r>
      <w:r>
        <w:t>hacer tareas no rutinarias</w:t>
      </w:r>
      <w:r w:rsidR="00E64062">
        <w:t xml:space="preserve"> </w:t>
      </w:r>
      <w:r w:rsidR="005810B6">
        <w:t>(i.e., entra</w:t>
      </w:r>
      <w:r w:rsidR="00D47B59">
        <w:t>r en esp</w:t>
      </w:r>
      <w:r w:rsidR="005810B6">
        <w:t>a</w:t>
      </w:r>
      <w:r w:rsidR="00D47B59">
        <w:t>c</w:t>
      </w:r>
      <w:r w:rsidR="005810B6">
        <w:t>ios confinados)</w:t>
      </w:r>
      <w:r w:rsidR="00D47B59">
        <w:t>, cada empleado recibirá</w:t>
      </w:r>
      <w:r w:rsidR="004935DD">
        <w:t xml:space="preserve"> información sobre los </w:t>
      </w:r>
      <w:r w:rsidR="00AA5973">
        <w:t>riesgos</w:t>
      </w:r>
      <w:r w:rsidR="004935DD">
        <w:t xml:space="preserve"> </w:t>
      </w:r>
      <w:r w:rsidR="00C5353C">
        <w:t xml:space="preserve">del área </w:t>
      </w:r>
      <w:r w:rsidR="00AA5973">
        <w:t>o</w:t>
      </w:r>
      <w:r w:rsidR="00C5353C">
        <w:t xml:space="preserve"> procedimiento</w:t>
      </w:r>
      <w:r w:rsidR="005810B6">
        <w:t xml:space="preserve"> </w:t>
      </w:r>
      <w:r w:rsidR="00976506">
        <w:t>antes de comenzar dicho trabajo.</w:t>
      </w:r>
      <w:r w:rsidR="008017A5">
        <w:t xml:space="preserve"> </w:t>
      </w:r>
      <w:r w:rsidR="00832B23">
        <w:t>Esta informació</w:t>
      </w:r>
      <w:r w:rsidR="00DC0D17">
        <w:t>n incluiría</w:t>
      </w:r>
      <w:r w:rsidR="00832B23">
        <w:t xml:space="preserve"> (a) </w:t>
      </w:r>
      <w:r w:rsidR="002022B4">
        <w:t>riesgos</w:t>
      </w:r>
      <w:r w:rsidR="00832B23">
        <w:t xml:space="preserve"> específicos de </w:t>
      </w:r>
      <w:r w:rsidR="00AA5973">
        <w:t xml:space="preserve">productos </w:t>
      </w:r>
      <w:r w:rsidR="00832B23">
        <w:t>químicos</w:t>
      </w:r>
      <w:r w:rsidR="005A64D4">
        <w:t xml:space="preserve"> (b) medidas de protección/seguridad que el empleado puede tomar, y (c) </w:t>
      </w:r>
      <w:r w:rsidR="00F44FCC">
        <w:t xml:space="preserve">medidas adoptadas por Contract Direct para eliminar o controlar el </w:t>
      </w:r>
      <w:r w:rsidR="002022B4">
        <w:t>riesgo</w:t>
      </w:r>
      <w:r w:rsidR="00F44FCC">
        <w:t xml:space="preserve"> (i.e., requisi</w:t>
      </w:r>
      <w:r w:rsidR="00CD1DEB">
        <w:t>t</w:t>
      </w:r>
      <w:r w:rsidR="00F44FCC">
        <w:t>os de ventilación, uso de res</w:t>
      </w:r>
      <w:r w:rsidR="003D5E43">
        <w:t>piradores, uso de monitores, o</w:t>
      </w:r>
      <w:r w:rsidR="00F44FCC">
        <w:t xml:space="preserve"> procedimientos de emergencia).</w:t>
      </w:r>
      <w:r w:rsidR="00832B23">
        <w:t xml:space="preserve"> </w:t>
      </w:r>
    </w:p>
    <w:p w14:paraId="6D4666D3" w14:textId="17639FF6" w:rsidR="003F6516" w:rsidRDefault="0000580A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>Actualmente Contract</w:t>
      </w:r>
      <w:r w:rsidR="00B852EF">
        <w:t xml:space="preserve"> </w:t>
      </w:r>
      <w:r w:rsidR="00C47604">
        <w:t xml:space="preserve">Direct </w:t>
      </w:r>
      <w:r w:rsidR="00B852EF">
        <w:t xml:space="preserve">no se dedica a las tareas no rutinarias que plantean esos </w:t>
      </w:r>
      <w:r w:rsidR="009252CD">
        <w:t>riesgos</w:t>
      </w:r>
      <w:r w:rsidR="00A838DB">
        <w:t xml:space="preserve">, </w:t>
      </w:r>
      <w:r w:rsidR="00C47604">
        <w:t xml:space="preserve">pero la política de arriba está en efecto </w:t>
      </w:r>
      <w:r w:rsidR="009252CD">
        <w:t>en un caso único o separado de ocurrir este tipo de tareas</w:t>
      </w:r>
      <w:r w:rsidR="00C47604">
        <w:t xml:space="preserve">. </w:t>
      </w:r>
      <w:r w:rsidRPr="0000580A">
        <w:rPr>
          <w:color w:val="9BBB59" w:themeColor="accent3"/>
        </w:rPr>
        <w:t xml:space="preserve"> </w:t>
      </w:r>
    </w:p>
    <w:p w14:paraId="40E3AC2E" w14:textId="3B8A1F5A" w:rsidR="003F6516" w:rsidRPr="001072AE" w:rsidRDefault="009410F8" w:rsidP="004F4D87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  <w:rPr>
          <w:color w:val="9BBB59" w:themeColor="accent3"/>
        </w:rPr>
      </w:pPr>
      <w:r>
        <w:t xml:space="preserve">La limpieza de </w:t>
      </w:r>
      <w:r w:rsidR="001072AE">
        <w:t>Patógenos Transmitidos por la sangre</w:t>
      </w:r>
      <w:r>
        <w:t xml:space="preserve"> se va a desempeñar por el personal de Contact Direct utilizando los kits ‘Hepa’ localizados en cada lugar de trabajo.</w:t>
      </w:r>
      <w:r w:rsidR="00AC2EEF">
        <w:t xml:space="preserve"> Derrames de</w:t>
      </w:r>
      <w:r w:rsidR="006D36C8">
        <w:t xml:space="preserve"> más de allá </w:t>
      </w:r>
      <w:r w:rsidR="00AC2EEF">
        <w:t xml:space="preserve">del limite </w:t>
      </w:r>
      <w:r w:rsidR="006D36C8">
        <w:t>del absorbente del kit se consideran</w:t>
      </w:r>
      <w:r w:rsidR="00351998">
        <w:t xml:space="preserve"> no útil</w:t>
      </w:r>
      <w:r>
        <w:t xml:space="preserve"> </w:t>
      </w:r>
      <w:r w:rsidR="00351998">
        <w:t>y por lo tanto</w:t>
      </w:r>
      <w:r w:rsidR="0067156C">
        <w:t xml:space="preserve"> el intento de </w:t>
      </w:r>
      <w:r w:rsidR="00351998">
        <w:t xml:space="preserve">limpiar deben ser dirigidos al cliente </w:t>
      </w:r>
      <w:r w:rsidR="0067156C">
        <w:t>para una</w:t>
      </w:r>
      <w:r w:rsidR="00351998">
        <w:t xml:space="preserve"> fuente</w:t>
      </w:r>
      <w:r w:rsidR="0067156C">
        <w:t>(s)</w:t>
      </w:r>
      <w:r w:rsidR="00351998">
        <w:t xml:space="preserve"> alterna</w:t>
      </w:r>
      <w:r w:rsidR="004715FD">
        <w:t>.</w:t>
      </w:r>
    </w:p>
    <w:p w14:paraId="7951408B" w14:textId="77777777" w:rsidR="003F6516" w:rsidRDefault="003F6516" w:rsidP="003F6516">
      <w:pPr>
        <w:ind w:left="900"/>
      </w:pPr>
    </w:p>
    <w:p w14:paraId="3D25FA8D" w14:textId="62C056E9" w:rsidR="003F6516" w:rsidRDefault="007D3E23" w:rsidP="004F4D87">
      <w:pPr>
        <w:ind w:left="1620"/>
      </w:pPr>
      <w:r>
        <w:t>Cuando utilizen el kit de patógenos transmitidos por l</w:t>
      </w:r>
      <w:r w:rsidR="00EC291D">
        <w:t>a sangre, los empleados deben llevar puesto todo el equipo de protección provisto (careta y/o protección ocular, ropa/bata y guantes)</w:t>
      </w:r>
      <w:r w:rsidR="00FF1328">
        <w:t xml:space="preserve"> y deben seguir las instrucciones en el kit </w:t>
      </w:r>
      <w:r w:rsidR="00763756">
        <w:t xml:space="preserve">y </w:t>
      </w:r>
      <w:r w:rsidR="00FF1328">
        <w:t xml:space="preserve">no saltarse el órden de las tareas </w:t>
      </w:r>
      <w:r w:rsidR="00CE35E7">
        <w:t>a desempeñar</w:t>
      </w:r>
      <w:r w:rsidR="00FF1328">
        <w:t>.</w:t>
      </w:r>
      <w:r w:rsidR="00763756">
        <w:t xml:space="preserve">  </w:t>
      </w:r>
    </w:p>
    <w:p w14:paraId="7509B5FB" w14:textId="77777777" w:rsidR="003F6516" w:rsidRDefault="003F6516" w:rsidP="003F6516">
      <w:pPr>
        <w:ind w:left="1800"/>
      </w:pPr>
    </w:p>
    <w:p w14:paraId="10975852" w14:textId="7FA9B89E" w:rsidR="003F6516" w:rsidRPr="008D3EBF" w:rsidRDefault="00255621" w:rsidP="004F4D87">
      <w:pPr>
        <w:ind w:left="1620"/>
        <w:rPr>
          <w:color w:val="9BBB59" w:themeColor="accent3"/>
        </w:rPr>
      </w:pPr>
      <w:r>
        <w:t xml:space="preserve">Todo empleado debe notificar a su supervisor antes de empezar a limpiar un derrame de transmisión sanguínea y proceder con la </w:t>
      </w:r>
      <w:r w:rsidR="00080160">
        <w:t>limpieza después que sea autoriz</w:t>
      </w:r>
      <w:r>
        <w:t>ado por su supervisor</w:t>
      </w:r>
      <w:r w:rsidR="00C95329">
        <w:t>,</w:t>
      </w:r>
      <w:r w:rsidR="00244DB0">
        <w:t xml:space="preserve"> marcar el área con letrero de piso mojado/</w:t>
      </w:r>
      <w:r w:rsidR="00C95329">
        <w:t xml:space="preserve"> </w:t>
      </w:r>
      <w:r w:rsidR="00107DDD">
        <w:t>precaución y entonces proceder</w:t>
      </w:r>
    </w:p>
    <w:p w14:paraId="1923F844" w14:textId="77777777" w:rsidR="003F6516" w:rsidRDefault="003F6516" w:rsidP="003F6516">
      <w:pPr>
        <w:ind w:left="1800"/>
      </w:pPr>
    </w:p>
    <w:p w14:paraId="13F7FE34" w14:textId="279941DB" w:rsidR="003F6516" w:rsidRPr="008414B6" w:rsidRDefault="008414B6" w:rsidP="004F4D87">
      <w:pPr>
        <w:ind w:left="1620"/>
        <w:rPr>
          <w:color w:val="9BBB59" w:themeColor="accent3"/>
        </w:rPr>
      </w:pPr>
      <w:r>
        <w:t>Todos los empleados recibirán entrenamiento y conocimi</w:t>
      </w:r>
      <w:r w:rsidR="00B013CB">
        <w:t>en</w:t>
      </w:r>
      <w:r>
        <w:t>to</w:t>
      </w:r>
      <w:r w:rsidR="0009394B">
        <w:t xml:space="preserve"> de este proceso al ser contratados y durante la revis</w:t>
      </w:r>
      <w:r w:rsidR="00D4073D">
        <w:t>ión</w:t>
      </w:r>
      <w:r w:rsidR="0009394B">
        <w:t xml:space="preserve"> de la política </w:t>
      </w:r>
      <w:r w:rsidR="00D4073D">
        <w:t>en</w:t>
      </w:r>
      <w:r w:rsidR="0009394B">
        <w:t xml:space="preserve"> comunicación de </w:t>
      </w:r>
      <w:r w:rsidR="00D4073D">
        <w:t>altos riesgos</w:t>
      </w:r>
      <w:r w:rsidR="0009394B">
        <w:t xml:space="preserve"> de la compañ</w:t>
      </w:r>
      <w:r w:rsidR="005569F0">
        <w:t>í</w:t>
      </w:r>
      <w:r w:rsidR="0009394B">
        <w:t>a</w:t>
      </w:r>
      <w:r w:rsidR="00D4073D">
        <w:t xml:space="preserve"> anualmente</w:t>
      </w:r>
      <w:r w:rsidR="0009394B">
        <w:t xml:space="preserve">.  </w:t>
      </w:r>
      <w:r>
        <w:t xml:space="preserve"> </w:t>
      </w:r>
    </w:p>
    <w:p w14:paraId="2BDFDEE4" w14:textId="77777777" w:rsidR="003F6516" w:rsidRDefault="003F6516" w:rsidP="003F6516">
      <w:pPr>
        <w:ind w:left="1800"/>
      </w:pPr>
    </w:p>
    <w:p w14:paraId="4676AE0A" w14:textId="2AAFF3AB" w:rsidR="003F6516" w:rsidRPr="00B26334" w:rsidRDefault="00B26334" w:rsidP="000B73BD">
      <w:pPr>
        <w:keepNext/>
        <w:keepLines/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color w:val="9BBB59" w:themeColor="accent3"/>
        </w:rPr>
      </w:pPr>
      <w:r>
        <w:t>Sitios de Trabajo de Multi-Empleador – Informando al Cliente</w:t>
      </w:r>
      <w:r w:rsidR="00C34216">
        <w:t>(s)</w:t>
      </w:r>
      <w:r>
        <w:t xml:space="preserve"> </w:t>
      </w:r>
    </w:p>
    <w:p w14:paraId="51FF8DF9" w14:textId="637130D3" w:rsidR="003F6516" w:rsidRPr="000A5901" w:rsidRDefault="000B272C" w:rsidP="000B73BD">
      <w:pPr>
        <w:keepNext/>
        <w:keepLines/>
        <w:numPr>
          <w:ilvl w:val="2"/>
          <w:numId w:val="1"/>
        </w:numPr>
        <w:tabs>
          <w:tab w:val="clear" w:pos="1440"/>
          <w:tab w:val="num" w:pos="1620"/>
        </w:tabs>
        <w:ind w:left="1620" w:hanging="720"/>
        <w:rPr>
          <w:color w:val="9BBB59" w:themeColor="accent3"/>
        </w:rPr>
      </w:pPr>
      <w:r>
        <w:t>Si Contract Direct expone a un empleado</w:t>
      </w:r>
      <w:r w:rsidR="000A5901">
        <w:t>,</w:t>
      </w:r>
      <w:r w:rsidR="00E25E60">
        <w:t xml:space="preserve"> invitado o visitante de otro empleador/compañía a cualquier producto</w:t>
      </w:r>
      <w:r w:rsidR="005569F0">
        <w:t>s</w:t>
      </w:r>
      <w:r w:rsidR="00E25E60">
        <w:t xml:space="preserve"> químico</w:t>
      </w:r>
      <w:r w:rsidR="005569F0">
        <w:t>s</w:t>
      </w:r>
      <w:r w:rsidR="00E25E60">
        <w:t xml:space="preserve"> </w:t>
      </w:r>
      <w:r w:rsidR="005569F0">
        <w:t>de alto riesgo</w:t>
      </w:r>
      <w:r w:rsidR="00E25E60">
        <w:t xml:space="preserve"> que producimos, uti</w:t>
      </w:r>
      <w:r w:rsidR="005569F0">
        <w:t>lizamos, or almac</w:t>
      </w:r>
      <w:r w:rsidR="00E25E60">
        <w:t>enamos, la siguiente información ser</w:t>
      </w:r>
      <w:r w:rsidR="00123E04">
        <w:t>á</w:t>
      </w:r>
      <w:r w:rsidR="00E25E60">
        <w:t xml:space="preserve"> </w:t>
      </w:r>
      <w:r w:rsidR="00123E04">
        <w:t>suministrada a ese empleador/compa</w:t>
      </w:r>
      <w:r w:rsidR="00E25E60">
        <w:t>nía:</w:t>
      </w:r>
      <w:r w:rsidR="000A5901">
        <w:t xml:space="preserve"> </w:t>
      </w:r>
      <w:r>
        <w:t xml:space="preserve"> </w:t>
      </w:r>
    </w:p>
    <w:p w14:paraId="53F66937" w14:textId="473F8FBC" w:rsidR="003F6516" w:rsidRPr="00902B4A" w:rsidRDefault="00902B4A" w:rsidP="007D3073">
      <w:pPr>
        <w:numPr>
          <w:ilvl w:val="3"/>
          <w:numId w:val="1"/>
        </w:numPr>
        <w:tabs>
          <w:tab w:val="num" w:pos="2520"/>
        </w:tabs>
        <w:ind w:left="2520" w:hanging="900"/>
        <w:rPr>
          <w:color w:val="9BBB59" w:themeColor="accent3"/>
        </w:rPr>
      </w:pPr>
      <w:r>
        <w:t xml:space="preserve">Los </w:t>
      </w:r>
      <w:r w:rsidR="00683CB3">
        <w:t xml:space="preserve">productos </w:t>
      </w:r>
      <w:r>
        <w:t xml:space="preserve">químicos </w:t>
      </w:r>
      <w:r w:rsidR="00683CB3">
        <w:t>de alto riesgo</w:t>
      </w:r>
      <w:r>
        <w:t xml:space="preserve"> que puedan encontrar</w:t>
      </w:r>
      <w:r w:rsidR="00E36BC2">
        <w:t>.</w:t>
      </w:r>
      <w:r>
        <w:t xml:space="preserve"> </w:t>
      </w:r>
    </w:p>
    <w:p w14:paraId="2F2F4211" w14:textId="0E29B8AC" w:rsidR="007D3073" w:rsidRPr="00D4710E" w:rsidRDefault="00D4710E" w:rsidP="0029317A">
      <w:pPr>
        <w:numPr>
          <w:ilvl w:val="3"/>
          <w:numId w:val="1"/>
        </w:numPr>
        <w:tabs>
          <w:tab w:val="num" w:pos="2520"/>
        </w:tabs>
        <w:ind w:left="2520" w:hanging="900"/>
        <w:rPr>
          <w:color w:val="9BBB59" w:themeColor="accent3"/>
        </w:rPr>
      </w:pPr>
      <w:r>
        <w:t xml:space="preserve">Medidas que sus empleados pueden tomar para controlar </w:t>
      </w:r>
      <w:r w:rsidR="00683CB3">
        <w:t>o</w:t>
      </w:r>
      <w:r>
        <w:t xml:space="preserve"> eliminar la exposición a </w:t>
      </w:r>
      <w:r w:rsidR="00683CB3">
        <w:t xml:space="preserve">productos </w:t>
      </w:r>
      <w:r>
        <w:t xml:space="preserve">químicos </w:t>
      </w:r>
      <w:r w:rsidR="00683CB3">
        <w:t>de alto riesgo</w:t>
      </w:r>
      <w:r>
        <w:t xml:space="preserve">. </w:t>
      </w:r>
    </w:p>
    <w:p w14:paraId="43064CE9" w14:textId="0C234C10" w:rsidR="00CA25ED" w:rsidRPr="00E4767D" w:rsidRDefault="001B783A" w:rsidP="007D3073">
      <w:pPr>
        <w:numPr>
          <w:ilvl w:val="3"/>
          <w:numId w:val="1"/>
        </w:numPr>
        <w:tabs>
          <w:tab w:val="num" w:pos="2520"/>
        </w:tabs>
        <w:ind w:left="2520" w:hanging="900"/>
        <w:rPr>
          <w:color w:val="9BBB59" w:themeColor="accent3"/>
        </w:rPr>
      </w:pPr>
      <w:r>
        <w:t xml:space="preserve">El sistema </w:t>
      </w:r>
      <w:r w:rsidR="00683CB3">
        <w:t>utilizado en el sitio para marcar el contenedor y la</w:t>
      </w:r>
      <w:r>
        <w:t xml:space="preserve"> tubería</w:t>
      </w:r>
      <w:r w:rsidR="00683CB3">
        <w:t>.</w:t>
      </w:r>
      <w:r>
        <w:t xml:space="preserve"> </w:t>
      </w:r>
    </w:p>
    <w:p w14:paraId="63C14C1A" w14:textId="20073185" w:rsidR="00CA25ED" w:rsidRDefault="00503D2C" w:rsidP="007D3073">
      <w:pPr>
        <w:numPr>
          <w:ilvl w:val="3"/>
          <w:numId w:val="1"/>
        </w:numPr>
        <w:tabs>
          <w:tab w:val="num" w:pos="2520"/>
        </w:tabs>
        <w:ind w:left="2520" w:hanging="900"/>
      </w:pPr>
      <w:r>
        <w:t xml:space="preserve">Donde </w:t>
      </w:r>
      <w:r w:rsidR="008A23E3">
        <w:t>se puede obtener o revisar</w:t>
      </w:r>
      <w:r>
        <w:t xml:space="preserve"> </w:t>
      </w:r>
      <w:r w:rsidR="002F4F42">
        <w:t xml:space="preserve">las </w:t>
      </w:r>
      <w:r w:rsidR="008A23E3">
        <w:t>Fichas</w:t>
      </w:r>
      <w:r>
        <w:t xml:space="preserve"> de Datos de Seguridad </w:t>
      </w:r>
      <w:r w:rsidR="008A23E3">
        <w:t>que apliquen</w:t>
      </w:r>
      <w:r w:rsidR="003F11CA">
        <w:t xml:space="preserve">. </w:t>
      </w:r>
    </w:p>
    <w:p w14:paraId="099169E6" w14:textId="77777777" w:rsidR="007D3073" w:rsidRDefault="007D3073" w:rsidP="007D3073">
      <w:pPr>
        <w:tabs>
          <w:tab w:val="num" w:pos="3510"/>
        </w:tabs>
        <w:ind w:left="1620"/>
      </w:pPr>
    </w:p>
    <w:p w14:paraId="2A9857F9" w14:textId="6C79FB88" w:rsidR="00CA25ED" w:rsidRPr="004F2524" w:rsidRDefault="000156BC" w:rsidP="008236A9">
      <w:pPr>
        <w:numPr>
          <w:ilvl w:val="2"/>
          <w:numId w:val="1"/>
        </w:numPr>
        <w:tabs>
          <w:tab w:val="clear" w:pos="1440"/>
          <w:tab w:val="num" w:pos="900"/>
        </w:tabs>
        <w:ind w:left="1620" w:hanging="720"/>
        <w:rPr>
          <w:color w:val="9BBB59" w:themeColor="accent3"/>
        </w:rPr>
      </w:pPr>
      <w:r>
        <w:t>En el caso de</w:t>
      </w:r>
      <w:r w:rsidR="004F2524">
        <w:t xml:space="preserve"> que los empleados de Contract </w:t>
      </w:r>
      <w:r w:rsidR="00B56794">
        <w:t>Direct puedan estar</w:t>
      </w:r>
      <w:r w:rsidR="004F2524">
        <w:t xml:space="preserve"> expuestos</w:t>
      </w:r>
      <w:r w:rsidR="00B56794">
        <w:t xml:space="preserve"> a </w:t>
      </w:r>
      <w:r w:rsidR="00ED36F1">
        <w:t xml:space="preserve">productos </w:t>
      </w:r>
      <w:r w:rsidR="00B56794">
        <w:t xml:space="preserve">químicos </w:t>
      </w:r>
      <w:r w:rsidR="00333A5B">
        <w:t>de alto riesgo</w:t>
      </w:r>
      <w:r w:rsidR="00B56794">
        <w:t xml:space="preserve"> traí</w:t>
      </w:r>
      <w:r w:rsidR="005812B0">
        <w:t>dos a</w:t>
      </w:r>
      <w:r w:rsidR="00B56794">
        <w:t xml:space="preserve"> nu</w:t>
      </w:r>
      <w:r w:rsidR="0005636F">
        <w:t>estras instalaciones</w:t>
      </w:r>
      <w:r w:rsidR="00B56794">
        <w:t xml:space="preserve"> </w:t>
      </w:r>
      <w:r w:rsidR="00333A5B">
        <w:t>o</w:t>
      </w:r>
      <w:r w:rsidR="0005636F">
        <w:t xml:space="preserve"> las instalaciones de sus </w:t>
      </w:r>
      <w:r w:rsidR="00B56794">
        <w:t>cliente</w:t>
      </w:r>
      <w:r w:rsidR="0005636F">
        <w:t>s</w:t>
      </w:r>
      <w:r w:rsidR="005812B0">
        <w:t xml:space="preserve">, </w:t>
      </w:r>
      <w:r w:rsidR="00333A5B">
        <w:t>obtendremos</w:t>
      </w:r>
      <w:r w:rsidR="005812B0">
        <w:t xml:space="preserve"> información</w:t>
      </w:r>
      <w:r w:rsidR="00291112">
        <w:t xml:space="preserve"> </w:t>
      </w:r>
      <w:r w:rsidR="00333A5B">
        <w:t xml:space="preserve">de esa fuente relacionado </w:t>
      </w:r>
      <w:r w:rsidR="00291112">
        <w:t xml:space="preserve">a los tipos de </w:t>
      </w:r>
      <w:r w:rsidR="00333A5B">
        <w:t xml:space="preserve">productos </w:t>
      </w:r>
      <w:r w:rsidR="00291112">
        <w:t xml:space="preserve">químicos juntos a las medidas que se deben de tomar para controlar </w:t>
      </w:r>
      <w:r w:rsidR="00DA0AF1">
        <w:t>o</w:t>
      </w:r>
      <w:r w:rsidR="00291112">
        <w:t xml:space="preserve"> eliminar la exposición</w:t>
      </w:r>
      <w:r w:rsidR="00E36BC2">
        <w:t>.</w:t>
      </w:r>
    </w:p>
    <w:p w14:paraId="3173C6DF" w14:textId="7654C26C" w:rsidR="00CA25ED" w:rsidRPr="00D87C4D" w:rsidRDefault="00EA2C0C" w:rsidP="007D3073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  <w:rPr>
          <w:color w:val="9BBB59" w:themeColor="accent3"/>
        </w:rPr>
      </w:pPr>
      <w:r>
        <w:t>Es la responsabilidad del coordinador del sitio</w:t>
      </w:r>
      <w:r w:rsidR="006D7D08">
        <w:t xml:space="preserve"> y/o gerente de proyecto/operaciones </w:t>
      </w:r>
      <w:r w:rsidR="00D87C4D">
        <w:t>para asegurar que esa información</w:t>
      </w:r>
      <w:r w:rsidR="00333A5B">
        <w:t xml:space="preserve"> sea provista y/o obtenida</w:t>
      </w:r>
      <w:r w:rsidR="00A95904">
        <w:t xml:space="preserve"> antes </w:t>
      </w:r>
      <w:r w:rsidR="00333A5B">
        <w:t>de que el servicio sea realizado por la persona o entidad de afuera.  La información será obtenida por contacto directo con nuestro cliente(s) y/o los gerentes de las facilidades</w:t>
      </w:r>
      <w:r w:rsidR="00B01DD7">
        <w:t>.</w:t>
      </w:r>
    </w:p>
    <w:p w14:paraId="41A12391" w14:textId="77777777" w:rsidR="00CA25ED" w:rsidRDefault="00CA25ED" w:rsidP="00CA25ED">
      <w:pPr>
        <w:ind w:left="900"/>
      </w:pPr>
    </w:p>
    <w:p w14:paraId="5DDE4140" w14:textId="4B867781" w:rsidR="00CA25ED" w:rsidRDefault="00C52662" w:rsidP="00CA25ED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</w:pPr>
      <w:r>
        <w:t xml:space="preserve">Contención de Derrame </w:t>
      </w:r>
    </w:p>
    <w:p w14:paraId="327A0A58" w14:textId="6C7790EA" w:rsidR="00CA25ED" w:rsidRDefault="007F4683" w:rsidP="007D3073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>La c</w:t>
      </w:r>
      <w:r w:rsidR="00E96952">
        <w:t xml:space="preserve">ontención de producto a través de compra – Con el fin de evitar el derrame en los almacenes de Contrac Direct </w:t>
      </w:r>
      <w:r w:rsidR="00020A35">
        <w:t>o</w:t>
      </w:r>
      <w:r w:rsidR="00E96952">
        <w:t xml:space="preserve"> en el lugar del trabajo, la compra de grandes contenedores (sobre 5 galones) es prohibido </w:t>
      </w:r>
      <w:r w:rsidR="00020A35">
        <w:t xml:space="preserve">generalmente </w:t>
      </w:r>
      <w:r w:rsidR="00E96952">
        <w:t xml:space="preserve">con la excepión hechas solo cuando un lugar </w:t>
      </w:r>
      <w:r w:rsidR="00020A35">
        <w:t xml:space="preserve">específico </w:t>
      </w:r>
      <w:r w:rsidR="00E96952">
        <w:t xml:space="preserve">de trabajo dicta ese tipo de compra </w:t>
      </w:r>
      <w:r w:rsidR="00020A35">
        <w:t>en volumen.</w:t>
      </w:r>
    </w:p>
    <w:p w14:paraId="0EEBA07F" w14:textId="05097B97" w:rsidR="0034690E" w:rsidRDefault="007F4683" w:rsidP="007D3073">
      <w:pPr>
        <w:numPr>
          <w:ilvl w:val="2"/>
          <w:numId w:val="1"/>
        </w:numPr>
        <w:tabs>
          <w:tab w:val="clear" w:pos="1440"/>
          <w:tab w:val="num" w:pos="1620"/>
        </w:tabs>
        <w:ind w:left="1620" w:hanging="720"/>
      </w:pPr>
      <w:r>
        <w:t>La c</w:t>
      </w:r>
      <w:r w:rsidR="000C0799">
        <w:t>ontención de producto</w:t>
      </w:r>
      <w:r w:rsidR="006E2D61">
        <w:t xml:space="preserve"> através de la prevención en el sitio de trabajo</w:t>
      </w:r>
      <w:r w:rsidR="00D83A9D">
        <w:t xml:space="preserve"> – Para sitios de trab</w:t>
      </w:r>
      <w:r w:rsidR="0032040A">
        <w:t>ajo que tienen producto químico</w:t>
      </w:r>
      <w:r w:rsidR="00D83A9D">
        <w:t xml:space="preserve"> en contenedores que sobrepasan</w:t>
      </w:r>
      <w:r w:rsidR="0032040A">
        <w:t xml:space="preserve"> los 5 galones, los envases para contención u otros dispositivos aprobabdos por OSHA serán utilizados para almacenar dichos productos</w:t>
      </w:r>
      <w:r w:rsidR="00CA25ED">
        <w:t xml:space="preserve"> </w:t>
      </w:r>
    </w:p>
    <w:p w14:paraId="0078E967" w14:textId="21318059" w:rsidR="00CA25ED" w:rsidRPr="00544355" w:rsidRDefault="00544355" w:rsidP="0034690E">
      <w:pPr>
        <w:numPr>
          <w:ilvl w:val="3"/>
          <w:numId w:val="1"/>
        </w:numPr>
        <w:tabs>
          <w:tab w:val="clear" w:pos="3510"/>
          <w:tab w:val="num" w:pos="2610"/>
        </w:tabs>
        <w:ind w:left="2610" w:hanging="1008"/>
        <w:rPr>
          <w:color w:val="9BBB59" w:themeColor="accent3"/>
        </w:rPr>
      </w:pPr>
      <w:r>
        <w:t>Las po</w:t>
      </w:r>
      <w:r w:rsidR="0032040A">
        <w:t>líticas de c</w:t>
      </w:r>
      <w:r w:rsidR="009A71AC">
        <w:t>ó</w:t>
      </w:r>
      <w:r w:rsidR="0032040A">
        <w:t>mo utilizar y almac</w:t>
      </w:r>
      <w:r>
        <w:t>enar</w:t>
      </w:r>
      <w:r w:rsidR="0032040A">
        <w:t xml:space="preserve"> correctamente</w:t>
      </w:r>
      <w:r>
        <w:t xml:space="preserve"> los </w:t>
      </w:r>
      <w:r w:rsidR="0032040A">
        <w:t xml:space="preserve">productos </w:t>
      </w:r>
      <w:r>
        <w:t>químicos</w:t>
      </w:r>
      <w:r w:rsidR="00AE145A">
        <w:t xml:space="preserve"> en esta</w:t>
      </w:r>
      <w:r w:rsidR="007532A2">
        <w:t>s</w:t>
      </w:r>
      <w:r w:rsidR="0032040A">
        <w:t xml:space="preserve"> uni</w:t>
      </w:r>
      <w:r w:rsidR="00AE145A">
        <w:t>dades de</w:t>
      </w:r>
      <w:r w:rsidR="007532A2">
        <w:t xml:space="preserve"> envases</w:t>
      </w:r>
      <w:r w:rsidR="00AE145A">
        <w:t xml:space="preserve"> serán mantenidas </w:t>
      </w:r>
      <w:r w:rsidR="00A16D56">
        <w:t>e</w:t>
      </w:r>
      <w:r w:rsidR="00AE145A">
        <w:t>n el sitio de trabajo</w:t>
      </w:r>
      <w:r w:rsidR="00692B8E">
        <w:t xml:space="preserve"> </w:t>
      </w:r>
      <w:r w:rsidR="00A16D56">
        <w:t>y todos los empleados deberán ser entrenados en el conocimiento general de esos si</w:t>
      </w:r>
      <w:r w:rsidR="00CD32E7">
        <w:t>s</w:t>
      </w:r>
      <w:r w:rsidR="00A16D56">
        <w:t>temas de contención.</w:t>
      </w:r>
      <w:r w:rsidR="007532A2">
        <w:t xml:space="preserve"> </w:t>
      </w:r>
      <w:r>
        <w:t xml:space="preserve"> </w:t>
      </w:r>
    </w:p>
    <w:p w14:paraId="399ECFE9" w14:textId="3A7D886B" w:rsidR="0034690E" w:rsidRPr="007B4415" w:rsidRDefault="00B278E6" w:rsidP="0034690E">
      <w:pPr>
        <w:numPr>
          <w:ilvl w:val="3"/>
          <w:numId w:val="1"/>
        </w:numPr>
        <w:tabs>
          <w:tab w:val="clear" w:pos="3510"/>
          <w:tab w:val="num" w:pos="2610"/>
        </w:tabs>
        <w:ind w:left="2610" w:hanging="1008"/>
        <w:rPr>
          <w:color w:val="9BBB59" w:themeColor="accent3"/>
        </w:rPr>
      </w:pPr>
      <w:r>
        <w:t xml:space="preserve">Medidas de contención de derrames deberán cumplir y ser </w:t>
      </w:r>
      <w:r w:rsidR="007B4415">
        <w:t>clasificadas para poder manejar la ca</w:t>
      </w:r>
      <w:r w:rsidR="008A517C">
        <w:t>ntidad de químico que un envase</w:t>
      </w:r>
      <w:r w:rsidR="007B4415">
        <w:t xml:space="preserve">(s) </w:t>
      </w:r>
      <w:r w:rsidR="008A517C">
        <w:t xml:space="preserve">específico </w:t>
      </w:r>
      <w:r w:rsidR="007B4415">
        <w:t xml:space="preserve">puede sostener </w:t>
      </w:r>
      <w:r w:rsidR="008A517C">
        <w:t>para</w:t>
      </w:r>
      <w:r w:rsidR="007B4415">
        <w:t xml:space="preserve"> un posible escenario de derrame. </w:t>
      </w:r>
    </w:p>
    <w:p w14:paraId="1C9B0007" w14:textId="42AE1BD9" w:rsidR="0034690E" w:rsidRDefault="005C25C4" w:rsidP="0034690E">
      <w:pPr>
        <w:numPr>
          <w:ilvl w:val="2"/>
          <w:numId w:val="1"/>
        </w:numPr>
        <w:tabs>
          <w:tab w:val="clear" w:pos="1440"/>
        </w:tabs>
        <w:ind w:left="1620" w:hanging="900"/>
      </w:pPr>
      <w:r>
        <w:t xml:space="preserve">Prevencíon: mantener áreas limpias y en orden es uno de los primeros pasos </w:t>
      </w:r>
      <w:r w:rsidR="00601CF0">
        <w:t>para la</w:t>
      </w:r>
      <w:r>
        <w:t xml:space="preserve"> prevención de derrame.</w:t>
      </w:r>
      <w:r w:rsidR="008E01E4">
        <w:t xml:space="preserve"> </w:t>
      </w:r>
      <w:r w:rsidR="00601CF0">
        <w:t>La g</w:t>
      </w:r>
      <w:r w:rsidR="008E01E4">
        <w:t xml:space="preserve">erencia debería </w:t>
      </w:r>
      <w:r w:rsidR="00601CF0">
        <w:t>realizar una auditoría</w:t>
      </w:r>
      <w:r w:rsidR="008E01E4">
        <w:t xml:space="preserve"> </w:t>
      </w:r>
      <w:r w:rsidR="00601CF0">
        <w:t xml:space="preserve">de </w:t>
      </w:r>
      <w:r w:rsidR="008E01E4">
        <w:t xml:space="preserve">estas áreas como parte de sus </w:t>
      </w:r>
      <w:r w:rsidR="00601CF0">
        <w:t>protocolos</w:t>
      </w:r>
      <w:r w:rsidR="008E01E4">
        <w:t xml:space="preserve"> de seguridad para</w:t>
      </w:r>
      <w:r>
        <w:t xml:space="preserve"> </w:t>
      </w:r>
      <w:r w:rsidR="008E01E4">
        <w:t xml:space="preserve">validar </w:t>
      </w:r>
      <w:r w:rsidR="00601CF0">
        <w:t xml:space="preserve">que </w:t>
      </w:r>
      <w:r w:rsidR="008E01E4">
        <w:t>el servicio de limpieza,</w:t>
      </w:r>
      <w:r w:rsidR="00C56A82">
        <w:t xml:space="preserve"> almacenamiento y programas de uso son eficaces y no están </w:t>
      </w:r>
      <w:r w:rsidR="00601CF0">
        <w:t>expuesto</w:t>
      </w:r>
      <w:r w:rsidR="00C56A82">
        <w:t>s a posibles derrames</w:t>
      </w:r>
    </w:p>
    <w:p w14:paraId="015CDE72" w14:textId="5CD0C903" w:rsidR="0034690E" w:rsidRPr="00D260E4" w:rsidRDefault="00D260E4" w:rsidP="0034690E">
      <w:pPr>
        <w:numPr>
          <w:ilvl w:val="2"/>
          <w:numId w:val="1"/>
        </w:numPr>
        <w:tabs>
          <w:tab w:val="clear" w:pos="1440"/>
          <w:tab w:val="left" w:pos="1620"/>
        </w:tabs>
        <w:ind w:left="1620" w:hanging="900"/>
        <w:rPr>
          <w:color w:val="9BBB59" w:themeColor="accent3"/>
        </w:rPr>
      </w:pPr>
      <w:r>
        <w:t xml:space="preserve">En el caso del escape/derrame químico </w:t>
      </w:r>
      <w:r w:rsidR="00601CF0">
        <w:t xml:space="preserve">debe seguir </w:t>
      </w:r>
      <w:r>
        <w:t>los siguientes protocolos de comunición en el orden que se indica a continuación</w:t>
      </w:r>
      <w:r w:rsidR="00597F16">
        <w:t xml:space="preserve"> (primero de la lista-primero en utilizarse):</w:t>
      </w:r>
      <w:r>
        <w:t xml:space="preserve">   </w:t>
      </w:r>
    </w:p>
    <w:p w14:paraId="62CE5CFB" w14:textId="056F9D9A" w:rsidR="00CA6C11" w:rsidRPr="00600BFA" w:rsidRDefault="00600BFA" w:rsidP="00CA6C11">
      <w:pPr>
        <w:numPr>
          <w:ilvl w:val="3"/>
          <w:numId w:val="1"/>
        </w:numPr>
        <w:tabs>
          <w:tab w:val="left" w:pos="1620"/>
        </w:tabs>
        <w:rPr>
          <w:color w:val="9BBB59" w:themeColor="accent3"/>
        </w:rPr>
      </w:pPr>
      <w:r>
        <w:t xml:space="preserve">Notificar a la </w:t>
      </w:r>
      <w:r w:rsidR="002B0E26">
        <w:t>seguridad del sitio del derrame.</w:t>
      </w:r>
    </w:p>
    <w:p w14:paraId="21D1F16A" w14:textId="3BAB07DB" w:rsidR="00CA6C11" w:rsidRPr="00DA3412" w:rsidRDefault="00DA3412" w:rsidP="00CA6C11">
      <w:pPr>
        <w:tabs>
          <w:tab w:val="left" w:pos="1620"/>
        </w:tabs>
        <w:ind w:left="3600"/>
        <w:rPr>
          <w:color w:val="9BBB59" w:themeColor="accent3"/>
        </w:rPr>
      </w:pPr>
      <w:r>
        <w:t>Si el derrame tiene peligro</w:t>
      </w:r>
      <w:r w:rsidR="002B0E26">
        <w:t xml:space="preserve"> de riesgo</w:t>
      </w:r>
      <w:r>
        <w:t xml:space="preserve"> potencial / condiciones que amenazan la vida</w:t>
      </w:r>
      <w:r w:rsidR="002B0E26">
        <w:t>,</w:t>
      </w:r>
      <w:r>
        <w:t xml:space="preserve"> agencias locales de emergencia deberán ser notificadas a través de la seguridad del sitio o directamente cuando no hay seguridad del sitio. </w:t>
      </w:r>
    </w:p>
    <w:p w14:paraId="0E27217D" w14:textId="001F1975" w:rsidR="00CA6C11" w:rsidRPr="008C38C2" w:rsidRDefault="00A85DE0" w:rsidP="00CA6C11">
      <w:pPr>
        <w:numPr>
          <w:ilvl w:val="3"/>
          <w:numId w:val="1"/>
        </w:numPr>
        <w:tabs>
          <w:tab w:val="left" w:pos="1620"/>
        </w:tabs>
        <w:rPr>
          <w:color w:val="9BBB59" w:themeColor="accent3"/>
        </w:rPr>
      </w:pPr>
      <w:r>
        <w:t xml:space="preserve">Notificar al contacto directo del sitio del </w:t>
      </w:r>
      <w:r w:rsidR="00A32AF3">
        <w:t xml:space="preserve">derrame </w:t>
      </w:r>
    </w:p>
    <w:p w14:paraId="0E3C71CF" w14:textId="2867AC7F" w:rsidR="00CA6C11" w:rsidRPr="008C38C2" w:rsidRDefault="008C38C2" w:rsidP="00CA6C11">
      <w:pPr>
        <w:numPr>
          <w:ilvl w:val="3"/>
          <w:numId w:val="1"/>
        </w:numPr>
        <w:tabs>
          <w:tab w:val="left" w:pos="1620"/>
        </w:tabs>
        <w:rPr>
          <w:color w:val="9BBB59" w:themeColor="accent3"/>
        </w:rPr>
      </w:pPr>
      <w:r>
        <w:t>Notificar</w:t>
      </w:r>
      <w:r w:rsidR="00A85DE0">
        <w:t xml:space="preserve"> a</w:t>
      </w:r>
      <w:r>
        <w:t xml:space="preserve"> la gerencia de Contract Direct </w:t>
      </w:r>
    </w:p>
    <w:p w14:paraId="3FE6CAEC" w14:textId="46324A05" w:rsidR="00CA6C11" w:rsidRPr="008C38C2" w:rsidRDefault="008C38C2" w:rsidP="00CA6C11">
      <w:pPr>
        <w:numPr>
          <w:ilvl w:val="3"/>
          <w:numId w:val="1"/>
        </w:numPr>
        <w:tabs>
          <w:tab w:val="left" w:pos="1620"/>
        </w:tabs>
        <w:rPr>
          <w:color w:val="9BBB59" w:themeColor="accent3"/>
        </w:rPr>
      </w:pPr>
      <w:r>
        <w:t>Notificar</w:t>
      </w:r>
      <w:r w:rsidR="00A85DE0">
        <w:t xml:space="preserve"> a</w:t>
      </w:r>
      <w:r>
        <w:t xml:space="preserve"> la s</w:t>
      </w:r>
      <w:r w:rsidR="00A85DE0">
        <w:t>e</w:t>
      </w:r>
      <w:r>
        <w:t xml:space="preserve">guridad de Contract Direct </w:t>
      </w:r>
    </w:p>
    <w:p w14:paraId="14038678" w14:textId="6951FD89" w:rsidR="008236A9" w:rsidRDefault="00C0461B" w:rsidP="008236A9">
      <w:pPr>
        <w:numPr>
          <w:ilvl w:val="1"/>
          <w:numId w:val="1"/>
        </w:numPr>
        <w:tabs>
          <w:tab w:val="clear" w:pos="792"/>
          <w:tab w:val="num" w:pos="900"/>
        </w:tabs>
      </w:pPr>
      <w:r>
        <w:t xml:space="preserve">Mezcla de </w:t>
      </w:r>
      <w:r w:rsidR="00A85DE0">
        <w:t xml:space="preserve">Productos </w:t>
      </w:r>
      <w:r>
        <w:t xml:space="preserve">Químicos </w:t>
      </w:r>
    </w:p>
    <w:p w14:paraId="664A6F0D" w14:textId="1D26A1D1" w:rsidR="008236A9" w:rsidRDefault="00A1240C" w:rsidP="00BA4CB4">
      <w:pPr>
        <w:numPr>
          <w:ilvl w:val="2"/>
          <w:numId w:val="1"/>
        </w:numPr>
        <w:ind w:left="1620" w:hanging="720"/>
      </w:pPr>
      <w:r>
        <w:t xml:space="preserve">Los empleados nunca deberían mezclar dos </w:t>
      </w:r>
      <w:r w:rsidR="00BA4CB4">
        <w:t xml:space="preserve">productos </w:t>
      </w:r>
      <w:r>
        <w:t>quí</w:t>
      </w:r>
      <w:r w:rsidR="00D00897">
        <w:t>micos O utilizar</w:t>
      </w:r>
      <w:r>
        <w:t xml:space="preserve"> dos </w:t>
      </w:r>
      <w:r w:rsidR="00BA4CB4">
        <w:t xml:space="preserve">productos </w:t>
      </w:r>
      <w:r>
        <w:t>quí</w:t>
      </w:r>
      <w:r w:rsidR="00D00897">
        <w:t xml:space="preserve">micos </w:t>
      </w:r>
      <w:r w:rsidR="00182A7A">
        <w:t>al mismo</w:t>
      </w:r>
      <w:r w:rsidR="00D00897">
        <w:t xml:space="preserve"> </w:t>
      </w:r>
      <w:r w:rsidR="00182A7A">
        <w:t>tiempo en la misma superficie</w:t>
      </w:r>
      <w:r w:rsidR="003C4846">
        <w:t xml:space="preserve"> (areas de limpieza) ya sean uno detrás del otro o en conjunto.</w:t>
      </w:r>
      <w:r w:rsidR="004937B1">
        <w:t xml:space="preserve"> Esto podría causar una reacción química grave que podría dar lugar a posible lesiones graves</w:t>
      </w:r>
      <w:r w:rsidR="008236A9">
        <w:t>.</w:t>
      </w:r>
    </w:p>
    <w:p w14:paraId="50932E2C" w14:textId="06B43B8E" w:rsidR="008236A9" w:rsidRPr="001D6B0C" w:rsidRDefault="001D6B0C" w:rsidP="008236A9">
      <w:pPr>
        <w:numPr>
          <w:ilvl w:val="2"/>
          <w:numId w:val="1"/>
        </w:numPr>
        <w:ind w:left="1620" w:hanging="720"/>
        <w:rPr>
          <w:color w:val="9BBB59" w:themeColor="accent3"/>
        </w:rPr>
      </w:pPr>
      <w:r>
        <w:t>Cuando se utilize una estación de mezcla química</w:t>
      </w:r>
      <w:r w:rsidR="00AB032D">
        <w:t xml:space="preserve"> </w:t>
      </w:r>
      <w:r w:rsidR="007331D9">
        <w:t>O se</w:t>
      </w:r>
      <w:r w:rsidR="00CA5F23">
        <w:t xml:space="preserve"> </w:t>
      </w:r>
      <w:r w:rsidR="00AB032D">
        <w:t>transf</w:t>
      </w:r>
      <w:r w:rsidR="007331D9">
        <w:t>iera</w:t>
      </w:r>
      <w:r w:rsidR="00CA5F23">
        <w:t xml:space="preserve"> CUALQUIER líquido de un </w:t>
      </w:r>
      <w:r w:rsidR="00F317C3">
        <w:t>contenedor</w:t>
      </w:r>
      <w:r w:rsidR="00CA5F23">
        <w:t>/</w:t>
      </w:r>
      <w:r w:rsidR="00F317C3">
        <w:t>recipiente</w:t>
      </w:r>
      <w:r w:rsidR="00145355">
        <w:t xml:space="preserve"> a otro </w:t>
      </w:r>
      <w:r w:rsidR="002A7E81">
        <w:t xml:space="preserve">deben usarse gafas de seguridad </w:t>
      </w:r>
      <w:r w:rsidR="00145355">
        <w:t>hasta que la tarea de mezclar (</w:t>
      </w:r>
      <w:r w:rsidR="002A7E81">
        <w:t xml:space="preserve">el químico concentrado) </w:t>
      </w:r>
      <w:r w:rsidR="00145355">
        <w:t>/</w:t>
      </w:r>
      <w:r w:rsidR="002A7E81">
        <w:t>o</w:t>
      </w:r>
      <w:r w:rsidR="00145355">
        <w:t xml:space="preserve"> llenar se ha completado.</w:t>
      </w:r>
      <w:r w:rsidR="00AB032D">
        <w:t xml:space="preserve"> </w:t>
      </w:r>
      <w:r>
        <w:t xml:space="preserve">  </w:t>
      </w:r>
    </w:p>
    <w:p w14:paraId="395F2FC4" w14:textId="58A5B397" w:rsidR="008236A9" w:rsidRDefault="001A39D9" w:rsidP="008236A9">
      <w:pPr>
        <w:numPr>
          <w:ilvl w:val="2"/>
          <w:numId w:val="1"/>
        </w:numPr>
        <w:ind w:left="1620" w:hanging="720"/>
      </w:pPr>
      <w:r>
        <w:t>Aunque muchos químicos puede</w:t>
      </w:r>
      <w:r w:rsidR="00B2722E">
        <w:t>n reaccionar mal al mezclar</w:t>
      </w:r>
      <w:r>
        <w:t>se</w:t>
      </w:r>
      <w:r w:rsidR="00B2722E">
        <w:t xml:space="preserve"> </w:t>
      </w:r>
      <w:r w:rsidR="00BB5454">
        <w:t xml:space="preserve">los siguientes son </w:t>
      </w:r>
      <w:r>
        <w:t xml:space="preserve">de </w:t>
      </w:r>
      <w:r w:rsidR="00BB5454">
        <w:t>interés par</w:t>
      </w:r>
      <w:r>
        <w:t>t</w:t>
      </w:r>
      <w:r w:rsidR="00BB5454">
        <w:t xml:space="preserve">icular: </w:t>
      </w:r>
    </w:p>
    <w:p w14:paraId="13B84D9E" w14:textId="67E7964C" w:rsidR="003E5C24" w:rsidRDefault="005340CF" w:rsidP="003E5C24">
      <w:pPr>
        <w:ind w:left="2430"/>
      </w:pPr>
      <w:r>
        <w:t xml:space="preserve">No mezcle </w:t>
      </w:r>
      <w:r w:rsidR="00E9199A">
        <w:t>blanqueador con amoní</w:t>
      </w:r>
      <w:r>
        <w:t>a</w:t>
      </w:r>
      <w:r w:rsidR="00E9199A">
        <w:t>co</w:t>
      </w:r>
      <w:r>
        <w:t xml:space="preserve">. </w:t>
      </w:r>
    </w:p>
    <w:p w14:paraId="208670F4" w14:textId="08CB8B91" w:rsidR="003E5C24" w:rsidRDefault="008560A9" w:rsidP="003E5C24">
      <w:pPr>
        <w:ind w:left="2430"/>
      </w:pPr>
      <w:r>
        <w:t>No mezcle blanqueador y ácidos</w:t>
      </w:r>
      <w:r w:rsidR="003E5C24">
        <w:t xml:space="preserve">. </w:t>
      </w:r>
    </w:p>
    <w:p w14:paraId="60A81036" w14:textId="2E3C59C2" w:rsidR="008236A9" w:rsidRPr="00B177F2" w:rsidRDefault="00B177F2" w:rsidP="003E5C24">
      <w:pPr>
        <w:ind w:left="2430"/>
        <w:rPr>
          <w:color w:val="9BBB59" w:themeColor="accent3"/>
        </w:rPr>
      </w:pPr>
      <w:r>
        <w:t>No u</w:t>
      </w:r>
      <w:r w:rsidR="001A39D9">
        <w:t>ti</w:t>
      </w:r>
      <w:r>
        <w:t xml:space="preserve">lize </w:t>
      </w:r>
      <w:r w:rsidR="001A39D9">
        <w:t xml:space="preserve">dos </w:t>
      </w:r>
      <w:r>
        <w:t>limpiadores de drenaje juntos, o uno después del otro</w:t>
      </w:r>
      <w:r w:rsidR="00F22B13">
        <w:t>.</w:t>
      </w:r>
      <w:r>
        <w:t xml:space="preserve"> </w:t>
      </w:r>
    </w:p>
    <w:p w14:paraId="2A82E413" w14:textId="77777777" w:rsidR="00CA25ED" w:rsidRDefault="00CA25ED" w:rsidP="00CA25ED"/>
    <w:p w14:paraId="7A747B6D" w14:textId="5B93BD2D" w:rsidR="00CA25ED" w:rsidRPr="00582660" w:rsidRDefault="008E0A10" w:rsidP="00CA25ED">
      <w:pPr>
        <w:numPr>
          <w:ilvl w:val="0"/>
          <w:numId w:val="1"/>
        </w:numPr>
        <w:rPr>
          <w:b/>
        </w:rPr>
      </w:pPr>
      <w:r>
        <w:rPr>
          <w:b/>
        </w:rPr>
        <w:t xml:space="preserve">Cumplimiento </w:t>
      </w:r>
    </w:p>
    <w:p w14:paraId="61AFEC39" w14:textId="6392ED42" w:rsidR="00582660" w:rsidRPr="008E0A10" w:rsidRDefault="008E0A10" w:rsidP="00582660">
      <w:pPr>
        <w:ind w:left="360"/>
        <w:rPr>
          <w:color w:val="9BBB59" w:themeColor="accent3"/>
        </w:rPr>
      </w:pPr>
      <w:r w:rsidRPr="008E0A10">
        <w:rPr>
          <w:color w:val="000000"/>
        </w:rPr>
        <w:t xml:space="preserve">Se les requiere a </w:t>
      </w:r>
      <w:r w:rsidRPr="008E0A10">
        <w:rPr>
          <w:b/>
          <w:color w:val="000000"/>
        </w:rPr>
        <w:t>TODOS</w:t>
      </w:r>
      <w:r w:rsidRPr="008E0A10">
        <w:rPr>
          <w:color w:val="000000"/>
        </w:rPr>
        <w:t xml:space="preserve"> los empleados de </w:t>
      </w:r>
      <w:r>
        <w:rPr>
          <w:color w:val="000000"/>
        </w:rPr>
        <w:t>Contact Direct</w:t>
      </w:r>
      <w:r w:rsidRPr="008E0A10">
        <w:rPr>
          <w:color w:val="000000"/>
        </w:rPr>
        <w:t xml:space="preserve"> que cumplan con esta y </w:t>
      </w:r>
      <w:r>
        <w:rPr>
          <w:color w:val="000000"/>
        </w:rPr>
        <w:t xml:space="preserve">todas las </w:t>
      </w:r>
      <w:r w:rsidRPr="008E0A10">
        <w:rPr>
          <w:color w:val="000000"/>
        </w:rPr>
        <w:t xml:space="preserve">normas de la empresa y regulación de las reglas de seguridad, políticas y leyes.  De no hacerlo dará lugar a medidas disciplinarias inmediatas que puede llevar e incluir la terminación de empleo. </w:t>
      </w:r>
      <w:r w:rsidR="001A39D9">
        <w:rPr>
          <w:color w:val="000000"/>
        </w:rPr>
        <w:t>La s</w:t>
      </w:r>
      <w:r w:rsidRPr="008E0A10">
        <w:rPr>
          <w:color w:val="000000"/>
        </w:rPr>
        <w:t xml:space="preserve">eguridad es la prioridad de </w:t>
      </w:r>
      <w:r>
        <w:rPr>
          <w:color w:val="000000"/>
        </w:rPr>
        <w:t>Contact Direct</w:t>
      </w:r>
      <w:r w:rsidRPr="008E0A10">
        <w:rPr>
          <w:color w:val="000000"/>
        </w:rPr>
        <w:t xml:space="preserve"> y es la obligación y responsabilidad de los empleados hacer su parte para garantizar </w:t>
      </w:r>
      <w:r w:rsidR="000C10E5">
        <w:rPr>
          <w:color w:val="000000"/>
        </w:rPr>
        <w:t xml:space="preserve">un </w:t>
      </w:r>
      <w:r w:rsidRPr="008E0A10">
        <w:rPr>
          <w:color w:val="000000"/>
        </w:rPr>
        <w:t>ambiente de trabajo seguro</w:t>
      </w:r>
      <w:r w:rsidR="000C10E5">
        <w:rPr>
          <w:color w:val="000000"/>
        </w:rPr>
        <w:t>.</w:t>
      </w:r>
      <w:r>
        <w:rPr>
          <w:color w:val="000000"/>
        </w:rPr>
        <w:t xml:space="preserve"> </w:t>
      </w:r>
    </w:p>
    <w:p w14:paraId="350628A4" w14:textId="77777777" w:rsidR="00582660" w:rsidRPr="008E0A10" w:rsidRDefault="00582660" w:rsidP="00582660">
      <w:pPr>
        <w:ind w:left="360"/>
        <w:rPr>
          <w:color w:val="9BBB59" w:themeColor="accent3"/>
        </w:rPr>
      </w:pPr>
    </w:p>
    <w:p w14:paraId="4851DE90" w14:textId="72C05E5C" w:rsidR="00582660" w:rsidRPr="00582660" w:rsidRDefault="005D6AED" w:rsidP="00582660">
      <w:pPr>
        <w:numPr>
          <w:ilvl w:val="0"/>
          <w:numId w:val="1"/>
        </w:numPr>
        <w:rPr>
          <w:b/>
        </w:rPr>
      </w:pPr>
      <w:r>
        <w:rPr>
          <w:b/>
        </w:rPr>
        <w:t xml:space="preserve">Documentos Relacionados </w:t>
      </w:r>
    </w:p>
    <w:p w14:paraId="07D422FE" w14:textId="0ED9FFAD" w:rsidR="00582660" w:rsidRDefault="00582660" w:rsidP="00582660">
      <w:pPr>
        <w:numPr>
          <w:ilvl w:val="0"/>
          <w:numId w:val="5"/>
        </w:numPr>
      </w:pPr>
      <w:r>
        <w:t xml:space="preserve">SP-02 </w:t>
      </w:r>
      <w:r w:rsidR="005D6AED">
        <w:t xml:space="preserve">Políticas de Seguridad </w:t>
      </w:r>
    </w:p>
    <w:p w14:paraId="704F143B" w14:textId="6C7D9091" w:rsidR="000B73BD" w:rsidRDefault="00582660" w:rsidP="00582660">
      <w:pPr>
        <w:numPr>
          <w:ilvl w:val="0"/>
          <w:numId w:val="5"/>
        </w:numPr>
      </w:pPr>
      <w:r>
        <w:t xml:space="preserve">SP-06 </w:t>
      </w:r>
      <w:r w:rsidR="005D6AED">
        <w:t xml:space="preserve">Lista de Designación de Material </w:t>
      </w:r>
      <w:r w:rsidR="005476F5">
        <w:t>de Alto Riesgo</w:t>
      </w:r>
      <w:r w:rsidR="005D6AED">
        <w:t xml:space="preserve"> </w:t>
      </w:r>
    </w:p>
    <w:p w14:paraId="24C810D9" w14:textId="76F195C8" w:rsidR="000B73BD" w:rsidRPr="0061332C" w:rsidRDefault="000B73BD" w:rsidP="002F43A6">
      <w:pPr>
        <w:pBdr>
          <w:bottom w:val="single" w:sz="6" w:space="1" w:color="auto"/>
        </w:pBdr>
        <w:suppressAutoHyphens/>
        <w:ind w:left="-90"/>
        <w:jc w:val="center"/>
        <w:rPr>
          <w:sz w:val="48"/>
          <w:szCs w:val="48"/>
        </w:rPr>
      </w:pPr>
      <w:r>
        <w:br w:type="page"/>
      </w:r>
      <w:r w:rsidR="004F3EF6">
        <w:rPr>
          <w:sz w:val="48"/>
          <w:szCs w:val="48"/>
        </w:rPr>
        <w:t xml:space="preserve">~ </w:t>
      </w:r>
      <w:r w:rsidR="002F43A6">
        <w:rPr>
          <w:sz w:val="48"/>
          <w:szCs w:val="48"/>
        </w:rPr>
        <w:t>Hoja de Auditoría de SDS</w:t>
      </w:r>
      <w:r w:rsidRPr="0061332C">
        <w:rPr>
          <w:sz w:val="48"/>
          <w:szCs w:val="48"/>
        </w:rPr>
        <w:t xml:space="preserve"> ~</w:t>
      </w:r>
    </w:p>
    <w:p w14:paraId="4DFD88FC" w14:textId="77777777" w:rsidR="002F43A6" w:rsidRDefault="002F43A6" w:rsidP="000B73BD">
      <w:pPr>
        <w:tabs>
          <w:tab w:val="left" w:pos="720"/>
        </w:tabs>
        <w:suppressAutoHyphens/>
        <w:ind w:left="-90"/>
        <w:jc w:val="center"/>
      </w:pPr>
    </w:p>
    <w:p w14:paraId="6319038E" w14:textId="30753F68" w:rsidR="002F43A6" w:rsidRPr="0061332C" w:rsidRDefault="002F43A6" w:rsidP="002F43A6">
      <w:pPr>
        <w:tabs>
          <w:tab w:val="left" w:pos="720"/>
        </w:tabs>
        <w:suppressAutoHyphens/>
        <w:ind w:left="-90"/>
        <w:jc w:val="center"/>
      </w:pPr>
      <w:r>
        <w:t>***Mantener esta página en frente del libro de SDS</w:t>
      </w:r>
      <w:r w:rsidRPr="0061332C">
        <w:t>***</w:t>
      </w:r>
    </w:p>
    <w:p w14:paraId="127D119A" w14:textId="77777777" w:rsidR="002F43A6" w:rsidRDefault="002F43A6" w:rsidP="000B73BD">
      <w:pPr>
        <w:tabs>
          <w:tab w:val="left" w:pos="720"/>
        </w:tabs>
        <w:suppressAutoHyphens/>
        <w:ind w:left="-90"/>
        <w:jc w:val="center"/>
      </w:pPr>
    </w:p>
    <w:p w14:paraId="395DE678" w14:textId="77777777" w:rsidR="000B73BD" w:rsidRPr="0061332C" w:rsidRDefault="000B73BD" w:rsidP="000B73BD">
      <w:pPr>
        <w:tabs>
          <w:tab w:val="left" w:pos="720"/>
        </w:tabs>
        <w:suppressAutoHyphens/>
        <w:ind w:left="-90"/>
      </w:pPr>
    </w:p>
    <w:p w14:paraId="625F6A79" w14:textId="47EEB141" w:rsidR="000B73BD" w:rsidRPr="0061332C" w:rsidRDefault="002F43A6" w:rsidP="000B73BD">
      <w:pPr>
        <w:tabs>
          <w:tab w:val="left" w:pos="720"/>
        </w:tabs>
        <w:suppressAutoHyphens/>
        <w:ind w:left="-90"/>
      </w:pPr>
      <w:r>
        <w:t xml:space="preserve">Basado en el cumplimiento de la sección 4.3.5 de la </w:t>
      </w:r>
      <w:r w:rsidR="003957D8">
        <w:t>P</w:t>
      </w:r>
      <w:r>
        <w:t>olítica de Comunicación de Altos Riesgos</w:t>
      </w:r>
      <w:r w:rsidR="003957D8">
        <w:t xml:space="preserve"> de Contract Direct SP-05, este libro </w:t>
      </w:r>
      <w:r w:rsidR="00A900FF">
        <w:t xml:space="preserve">SDS </w:t>
      </w:r>
      <w:r w:rsidR="003957D8">
        <w:t>ha sido auditado y todo SDS ha sido comprobado de ser la más reciente revisión de los productos identificados.</w:t>
      </w:r>
    </w:p>
    <w:p w14:paraId="1B0404E1" w14:textId="77777777" w:rsidR="002F43A6" w:rsidRDefault="002F43A6" w:rsidP="000B73BD">
      <w:pPr>
        <w:tabs>
          <w:tab w:val="left" w:pos="720"/>
        </w:tabs>
        <w:suppressAutoHyphens/>
        <w:ind w:left="-90"/>
      </w:pPr>
    </w:p>
    <w:p w14:paraId="57CE73BF" w14:textId="77777777" w:rsidR="000B73BD" w:rsidRPr="0061332C" w:rsidRDefault="000B73BD" w:rsidP="000B73BD">
      <w:pPr>
        <w:tabs>
          <w:tab w:val="left" w:pos="720"/>
        </w:tabs>
        <w:suppressAutoHyphens/>
        <w:ind w:left="-90"/>
      </w:pPr>
    </w:p>
    <w:p w14:paraId="263B57D5" w14:textId="7C27F364" w:rsidR="000B73BD" w:rsidRDefault="00D677A7" w:rsidP="000B73BD">
      <w:pPr>
        <w:tabs>
          <w:tab w:val="left" w:pos="720"/>
        </w:tabs>
        <w:suppressAutoHyphens/>
        <w:ind w:left="-90"/>
      </w:pPr>
      <w:r>
        <w:t>Verificado por</w:t>
      </w:r>
      <w:r w:rsidR="000B73BD" w:rsidRPr="0061332C">
        <w:t>:</w:t>
      </w:r>
    </w:p>
    <w:p w14:paraId="4DA54578" w14:textId="77777777" w:rsidR="000B73BD" w:rsidRPr="0061332C" w:rsidRDefault="000B73BD" w:rsidP="000B73BD">
      <w:pPr>
        <w:tabs>
          <w:tab w:val="left" w:pos="720"/>
        </w:tabs>
        <w:suppressAutoHyphens/>
        <w:ind w:left="-90"/>
      </w:pPr>
    </w:p>
    <w:tbl>
      <w:tblPr>
        <w:tblW w:w="0" w:type="auto"/>
        <w:tblInd w:w="2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3517"/>
      </w:tblGrid>
      <w:tr w:rsidR="000B73BD" w:rsidRPr="0061332C" w14:paraId="6250044E" w14:textId="77777777" w:rsidTr="00A97F3F"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6E42F" w14:textId="77777777" w:rsidR="000B73BD" w:rsidRPr="00A97F3F" w:rsidRDefault="000B73BD" w:rsidP="00A97F3F">
            <w:pPr>
              <w:tabs>
                <w:tab w:val="left" w:pos="720"/>
              </w:tabs>
              <w:suppressAutoHyphens/>
              <w:ind w:left="-90"/>
              <w:jc w:val="center"/>
              <w:rPr>
                <w:b/>
              </w:rPr>
            </w:pPr>
            <w:r w:rsidRPr="00A97F3F">
              <w:rPr>
                <w:b/>
              </w:rPr>
              <w:t>DATE (mm/dd/yyyy)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CC5DF" w14:textId="77777777" w:rsidR="000B73BD" w:rsidRPr="00A97F3F" w:rsidRDefault="000B73BD" w:rsidP="00A97F3F">
            <w:pPr>
              <w:tabs>
                <w:tab w:val="left" w:pos="720"/>
              </w:tabs>
              <w:suppressAutoHyphens/>
              <w:ind w:left="-90"/>
              <w:jc w:val="center"/>
              <w:rPr>
                <w:b/>
              </w:rPr>
            </w:pPr>
            <w:r w:rsidRPr="00A97F3F">
              <w:rPr>
                <w:b/>
              </w:rPr>
              <w:t>VERIFICATION BY</w:t>
            </w:r>
          </w:p>
        </w:tc>
      </w:tr>
      <w:tr w:rsidR="000B73BD" w:rsidRPr="0061332C" w14:paraId="06956078" w14:textId="77777777" w:rsidTr="00A97F3F">
        <w:tc>
          <w:tcPr>
            <w:tcW w:w="2423" w:type="dxa"/>
            <w:tcBorders>
              <w:top w:val="single" w:sz="18" w:space="0" w:color="auto"/>
            </w:tcBorders>
          </w:tcPr>
          <w:p w14:paraId="32C20DC3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  <w:tcBorders>
              <w:top w:val="single" w:sz="18" w:space="0" w:color="auto"/>
            </w:tcBorders>
          </w:tcPr>
          <w:p w14:paraId="5996BB1E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5449AD34" w14:textId="77777777" w:rsidTr="00A97F3F">
        <w:tc>
          <w:tcPr>
            <w:tcW w:w="2423" w:type="dxa"/>
          </w:tcPr>
          <w:p w14:paraId="2BA284A8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14C7E931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24A14CAD" w14:textId="77777777" w:rsidTr="00A97F3F">
        <w:tc>
          <w:tcPr>
            <w:tcW w:w="2423" w:type="dxa"/>
          </w:tcPr>
          <w:p w14:paraId="29868AC5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29866A1B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38CF28D9" w14:textId="77777777" w:rsidTr="00A97F3F">
        <w:tc>
          <w:tcPr>
            <w:tcW w:w="2423" w:type="dxa"/>
          </w:tcPr>
          <w:p w14:paraId="5B074B88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41E99392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6FDCD000" w14:textId="77777777" w:rsidTr="00A97F3F">
        <w:tc>
          <w:tcPr>
            <w:tcW w:w="2423" w:type="dxa"/>
          </w:tcPr>
          <w:p w14:paraId="7E5EDA61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17ECBB5E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26A155BB" w14:textId="77777777" w:rsidTr="00A97F3F">
        <w:tc>
          <w:tcPr>
            <w:tcW w:w="2423" w:type="dxa"/>
          </w:tcPr>
          <w:p w14:paraId="05247B73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63A0B089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680EEECC" w14:textId="77777777" w:rsidTr="00A97F3F">
        <w:tc>
          <w:tcPr>
            <w:tcW w:w="2423" w:type="dxa"/>
          </w:tcPr>
          <w:p w14:paraId="1662B83C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64428C58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2B6408FA" w14:textId="77777777" w:rsidTr="00A97F3F">
        <w:tc>
          <w:tcPr>
            <w:tcW w:w="2423" w:type="dxa"/>
          </w:tcPr>
          <w:p w14:paraId="1FEBF85B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3AA37248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7A44BBFE" w14:textId="77777777" w:rsidTr="00A97F3F">
        <w:tc>
          <w:tcPr>
            <w:tcW w:w="2423" w:type="dxa"/>
          </w:tcPr>
          <w:p w14:paraId="37B929F9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558C166A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77044BCC" w14:textId="77777777" w:rsidTr="00A97F3F">
        <w:tc>
          <w:tcPr>
            <w:tcW w:w="2423" w:type="dxa"/>
          </w:tcPr>
          <w:p w14:paraId="39ECF729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52D2AB59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43F9EE48" w14:textId="77777777" w:rsidTr="00A97F3F">
        <w:tc>
          <w:tcPr>
            <w:tcW w:w="2423" w:type="dxa"/>
          </w:tcPr>
          <w:p w14:paraId="7ADCC279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021D956B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68285C75" w14:textId="77777777" w:rsidTr="00A97F3F">
        <w:tc>
          <w:tcPr>
            <w:tcW w:w="2423" w:type="dxa"/>
          </w:tcPr>
          <w:p w14:paraId="663713C7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69FE9F0B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5982DF33" w14:textId="77777777" w:rsidTr="00A97F3F">
        <w:tc>
          <w:tcPr>
            <w:tcW w:w="2423" w:type="dxa"/>
          </w:tcPr>
          <w:p w14:paraId="6F6FF12F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34847B81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4042742C" w14:textId="77777777" w:rsidTr="00A97F3F">
        <w:tc>
          <w:tcPr>
            <w:tcW w:w="2423" w:type="dxa"/>
          </w:tcPr>
          <w:p w14:paraId="0CB9917B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460EC904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79DFF1E9" w14:textId="77777777" w:rsidTr="00A97F3F">
        <w:tc>
          <w:tcPr>
            <w:tcW w:w="2423" w:type="dxa"/>
          </w:tcPr>
          <w:p w14:paraId="506F8E08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62A89EC6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458F6F13" w14:textId="77777777" w:rsidTr="00A97F3F">
        <w:tc>
          <w:tcPr>
            <w:tcW w:w="2423" w:type="dxa"/>
          </w:tcPr>
          <w:p w14:paraId="1F506BA3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6B3E0695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44CC7EEE" w14:textId="77777777" w:rsidTr="00A97F3F">
        <w:tc>
          <w:tcPr>
            <w:tcW w:w="2423" w:type="dxa"/>
          </w:tcPr>
          <w:p w14:paraId="2AA509F0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187B1475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  <w:tr w:rsidR="000B73BD" w:rsidRPr="0061332C" w14:paraId="03DC70BE" w14:textId="77777777" w:rsidTr="00A97F3F">
        <w:tc>
          <w:tcPr>
            <w:tcW w:w="2423" w:type="dxa"/>
          </w:tcPr>
          <w:p w14:paraId="742E53AA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  <w:tc>
          <w:tcPr>
            <w:tcW w:w="3517" w:type="dxa"/>
          </w:tcPr>
          <w:p w14:paraId="304C8D7B" w14:textId="77777777" w:rsidR="000B73BD" w:rsidRPr="0061332C" w:rsidRDefault="000B73BD" w:rsidP="00A97F3F">
            <w:pPr>
              <w:tabs>
                <w:tab w:val="left" w:pos="720"/>
              </w:tabs>
              <w:suppressAutoHyphens/>
              <w:ind w:left="-90"/>
            </w:pPr>
          </w:p>
        </w:tc>
      </w:tr>
    </w:tbl>
    <w:p w14:paraId="3ADDE052" w14:textId="77777777" w:rsidR="000B73BD" w:rsidRPr="0061332C" w:rsidRDefault="000B73BD" w:rsidP="00091F47">
      <w:pPr>
        <w:ind w:left="-90"/>
      </w:pPr>
    </w:p>
    <w:p w14:paraId="6CF38593" w14:textId="77777777" w:rsidR="00582660" w:rsidRDefault="00582660" w:rsidP="000B73BD">
      <w:pPr>
        <w:ind w:left="-90"/>
      </w:pPr>
    </w:p>
    <w:p w14:paraId="555845CC" w14:textId="7A79A17A" w:rsidR="00582660" w:rsidRDefault="00582660" w:rsidP="000B73BD">
      <w:pPr>
        <w:ind w:left="-90"/>
      </w:pPr>
    </w:p>
    <w:sectPr w:rsidR="00582660" w:rsidSect="00D738FE">
      <w:footerReference w:type="default" r:id="rId11"/>
      <w:pgSz w:w="12240" w:h="15840" w:code="1"/>
      <w:pgMar w:top="1152" w:right="1152" w:bottom="1152" w:left="1152" w:header="10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8BB6C" w14:textId="77777777" w:rsidR="002F43A6" w:rsidRDefault="002F43A6">
      <w:r>
        <w:separator/>
      </w:r>
    </w:p>
  </w:endnote>
  <w:endnote w:type="continuationSeparator" w:id="0">
    <w:p w14:paraId="6C452507" w14:textId="77777777" w:rsidR="002F43A6" w:rsidRDefault="002F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88406" w14:textId="77777777" w:rsidR="002F43A6" w:rsidRPr="00683CBD" w:rsidRDefault="002F43A6" w:rsidP="00683CBD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683CBD">
      <w:rPr>
        <w:rFonts w:ascii="Times New Roman" w:hAnsi="Times New Roman" w:cs="Times New Roman"/>
        <w:b/>
        <w:sz w:val="16"/>
        <w:szCs w:val="16"/>
      </w:rPr>
      <w:t>Controlled Copy, Do Not Duplicate</w:t>
    </w:r>
  </w:p>
  <w:p w14:paraId="3F9DA7CE" w14:textId="77777777" w:rsidR="002F43A6" w:rsidRPr="00683CBD" w:rsidRDefault="002F43A6" w:rsidP="00683CBD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683CBD">
      <w:rPr>
        <w:rFonts w:ascii="Times New Roman" w:hAnsi="Times New Roman" w:cs="Times New Roman"/>
        <w:b/>
        <w:sz w:val="16"/>
        <w:szCs w:val="16"/>
      </w:rPr>
      <w:t>For Internal Use Only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4299F" w14:textId="77777777" w:rsidR="002F43A6" w:rsidRPr="00597A10" w:rsidRDefault="002F43A6" w:rsidP="00597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E6BBC" w14:textId="77777777" w:rsidR="002F43A6" w:rsidRDefault="002F43A6">
      <w:r>
        <w:separator/>
      </w:r>
    </w:p>
  </w:footnote>
  <w:footnote w:type="continuationSeparator" w:id="0">
    <w:p w14:paraId="594E36FC" w14:textId="77777777" w:rsidR="002F43A6" w:rsidRDefault="002F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42"/>
      <w:gridCol w:w="2027"/>
      <w:gridCol w:w="3257"/>
    </w:tblGrid>
    <w:tr w:rsidR="002F43A6" w:rsidRPr="00A97F3F" w14:paraId="289C3D2A" w14:textId="77777777" w:rsidTr="00A97F3F">
      <w:tc>
        <w:tcPr>
          <w:tcW w:w="4698" w:type="dxa"/>
        </w:tcPr>
        <w:p w14:paraId="2ED1F845" w14:textId="3013D3E7" w:rsidR="002F43A6" w:rsidRPr="00A97F3F" w:rsidRDefault="00CD3F3C" w:rsidP="004A453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B670428" wp14:editId="0A17047D">
                <wp:extent cx="2047875" cy="371475"/>
                <wp:effectExtent l="0" t="0" r="9525" b="9525"/>
                <wp:docPr id="1" name="Picture 1" descr="GD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D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4" w:type="dxa"/>
          <w:gridSpan w:val="2"/>
        </w:tcPr>
        <w:p w14:paraId="482E3EF1" w14:textId="77777777" w:rsidR="002F43A6" w:rsidRDefault="002F43A6" w:rsidP="004A4538">
          <w:pPr>
            <w:rPr>
              <w:rFonts w:ascii="Times New Roman" w:hAnsi="Times New Roman" w:cs="Times New Roman"/>
              <w:sz w:val="20"/>
              <w:szCs w:val="20"/>
            </w:rPr>
          </w:pPr>
          <w:r w:rsidRPr="00A97F3F">
            <w:rPr>
              <w:rFonts w:ascii="Times New Roman" w:hAnsi="Times New Roman" w:cs="Times New Roman"/>
              <w:sz w:val="20"/>
              <w:szCs w:val="20"/>
            </w:rPr>
            <w:t>Hazard Communication Policy</w:t>
          </w:r>
        </w:p>
        <w:p w14:paraId="31316F28" w14:textId="77777777" w:rsidR="002F43A6" w:rsidRDefault="002F43A6" w:rsidP="004A4538">
          <w:pPr>
            <w:rPr>
              <w:rFonts w:ascii="Times New Roman" w:hAnsi="Times New Roman" w:cs="Times New Roman"/>
              <w:sz w:val="20"/>
              <w:szCs w:val="20"/>
            </w:rPr>
          </w:pPr>
        </w:p>
        <w:p w14:paraId="50820F92" w14:textId="77777777" w:rsidR="002F43A6" w:rsidRPr="00A97F3F" w:rsidRDefault="002F43A6" w:rsidP="004A453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2F43A6" w:rsidRPr="00A97F3F" w14:paraId="3EC872BA" w14:textId="77777777" w:rsidTr="00A97F3F">
      <w:tc>
        <w:tcPr>
          <w:tcW w:w="4698" w:type="dxa"/>
        </w:tcPr>
        <w:p w14:paraId="0CE34808" w14:textId="77777777" w:rsidR="002F43A6" w:rsidRPr="00A97F3F" w:rsidRDefault="002F43A6" w:rsidP="0051004C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24300 Southfield Road, Suite 221</w:t>
          </w:r>
        </w:p>
        <w:p w14:paraId="064F113C" w14:textId="77777777" w:rsidR="002F43A6" w:rsidRDefault="002F43A6" w:rsidP="0051004C">
          <w:pPr>
            <w:rPr>
              <w:rFonts w:ascii="Times New Roman" w:hAnsi="Times New Roman" w:cs="Times New Roman"/>
              <w:sz w:val="20"/>
              <w:szCs w:val="20"/>
            </w:rPr>
          </w:pPr>
          <w:r w:rsidRPr="00A97F3F">
            <w:rPr>
              <w:rFonts w:ascii="Times New Roman" w:hAnsi="Times New Roman" w:cs="Times New Roman"/>
              <w:sz w:val="20"/>
              <w:szCs w:val="20"/>
            </w:rPr>
            <w:t>Southfield, Michigan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48075</w:t>
          </w:r>
        </w:p>
        <w:p w14:paraId="2254D25C" w14:textId="77777777" w:rsidR="002F43A6" w:rsidRPr="00A97F3F" w:rsidRDefault="002F43A6" w:rsidP="0051004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70" w:type="dxa"/>
        </w:tcPr>
        <w:p w14:paraId="2B16E9AA" w14:textId="77777777" w:rsidR="002F43A6" w:rsidRPr="00A97F3F" w:rsidRDefault="002F43A6" w:rsidP="0051004C">
          <w:pPr>
            <w:rPr>
              <w:rFonts w:ascii="Times New Roman" w:hAnsi="Times New Roman" w:cs="Times New Roman"/>
              <w:sz w:val="20"/>
              <w:szCs w:val="20"/>
            </w:rPr>
          </w:pPr>
          <w:r w:rsidRPr="00A97F3F">
            <w:rPr>
              <w:rFonts w:ascii="Times New Roman" w:hAnsi="Times New Roman" w:cs="Times New Roman"/>
              <w:sz w:val="20"/>
              <w:szCs w:val="20"/>
            </w:rPr>
            <w:t>Doc. No. SP-05</w:t>
          </w:r>
        </w:p>
      </w:tc>
      <w:tc>
        <w:tcPr>
          <w:tcW w:w="3384" w:type="dxa"/>
        </w:tcPr>
        <w:p w14:paraId="290EFB39" w14:textId="77777777" w:rsidR="002F43A6" w:rsidRPr="00A97F3F" w:rsidRDefault="002F43A6" w:rsidP="0051004C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Rev. No. 9</w:t>
          </w:r>
        </w:p>
      </w:tc>
    </w:tr>
    <w:tr w:rsidR="002F43A6" w:rsidRPr="00A97F3F" w14:paraId="3F98E498" w14:textId="77777777" w:rsidTr="00A97F3F">
      <w:tc>
        <w:tcPr>
          <w:tcW w:w="4698" w:type="dxa"/>
        </w:tcPr>
        <w:p w14:paraId="2AE62C2D" w14:textId="77777777" w:rsidR="002F43A6" w:rsidRPr="00A97F3F" w:rsidRDefault="002F43A6" w:rsidP="0051004C">
          <w:pPr>
            <w:rPr>
              <w:rFonts w:ascii="Times New Roman" w:hAnsi="Times New Roman" w:cs="Times New Roman"/>
              <w:sz w:val="20"/>
              <w:szCs w:val="20"/>
            </w:rPr>
          </w:pPr>
        </w:p>
        <w:p w14:paraId="5B3995AF" w14:textId="77777777" w:rsidR="002F43A6" w:rsidRPr="00A97F3F" w:rsidRDefault="002F43A6" w:rsidP="0051004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70" w:type="dxa"/>
        </w:tcPr>
        <w:p w14:paraId="4B304486" w14:textId="77777777" w:rsidR="002F43A6" w:rsidRPr="00A97F3F" w:rsidRDefault="002F43A6" w:rsidP="0051004C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Date:  11/30/2015</w:t>
          </w:r>
        </w:p>
      </w:tc>
      <w:tc>
        <w:tcPr>
          <w:tcW w:w="3384" w:type="dxa"/>
        </w:tcPr>
        <w:p w14:paraId="15C19C61" w14:textId="77777777" w:rsidR="002F43A6" w:rsidRPr="00A97F3F" w:rsidRDefault="002F43A6" w:rsidP="0051004C">
          <w:pPr>
            <w:rPr>
              <w:rFonts w:ascii="Times New Roman" w:hAnsi="Times New Roman" w:cs="Times New Roman"/>
              <w:sz w:val="20"/>
              <w:szCs w:val="20"/>
            </w:rPr>
          </w:pPr>
          <w:r w:rsidRPr="00A97F3F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A97F3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7F3F">
            <w:rPr>
              <w:rStyle w:val="PageNumber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97F3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D3F3C">
            <w:rPr>
              <w:rStyle w:val="PageNumber"/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97F3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97F3F">
            <w:rPr>
              <w:rStyle w:val="PageNumber"/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97F3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7F3F">
            <w:rPr>
              <w:rStyle w:val="PageNumber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97F3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D3F3C">
            <w:rPr>
              <w:rStyle w:val="PageNumber"/>
              <w:rFonts w:ascii="Times New Roman" w:hAnsi="Times New Roman" w:cs="Times New Roman"/>
              <w:noProof/>
              <w:sz w:val="20"/>
              <w:szCs w:val="20"/>
            </w:rPr>
            <w:t>8</w:t>
          </w:r>
          <w:r w:rsidRPr="00A97F3F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67866D43" w14:textId="77777777" w:rsidR="002F43A6" w:rsidRPr="00E36F73" w:rsidRDefault="002F43A6">
    <w:pPr>
      <w:pStyle w:val="Head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1D"/>
    <w:multiLevelType w:val="multilevel"/>
    <w:tmpl w:val="6A00DB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F2597"/>
    <w:multiLevelType w:val="hybridMultilevel"/>
    <w:tmpl w:val="4AEA4C56"/>
    <w:lvl w:ilvl="0" w:tplc="1A2C8A7E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981DA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DA49CB"/>
    <w:multiLevelType w:val="multilevel"/>
    <w:tmpl w:val="5A06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DA25862"/>
    <w:multiLevelType w:val="multilevel"/>
    <w:tmpl w:val="5A06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0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D2576A1"/>
    <w:multiLevelType w:val="hybridMultilevel"/>
    <w:tmpl w:val="C34E1918"/>
    <w:lvl w:ilvl="0" w:tplc="1A2C8A7E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2F5594"/>
    <w:multiLevelType w:val="hybridMultilevel"/>
    <w:tmpl w:val="C8669F62"/>
    <w:lvl w:ilvl="0" w:tplc="1A2C8A7E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E9"/>
    <w:rsid w:val="000001F2"/>
    <w:rsid w:val="000001F7"/>
    <w:rsid w:val="00002B12"/>
    <w:rsid w:val="00003B8D"/>
    <w:rsid w:val="0000580A"/>
    <w:rsid w:val="00010B48"/>
    <w:rsid w:val="00013CAC"/>
    <w:rsid w:val="00014F16"/>
    <w:rsid w:val="000156BC"/>
    <w:rsid w:val="0001742D"/>
    <w:rsid w:val="00020A35"/>
    <w:rsid w:val="00031727"/>
    <w:rsid w:val="0003406D"/>
    <w:rsid w:val="00037FD6"/>
    <w:rsid w:val="000415F5"/>
    <w:rsid w:val="00052437"/>
    <w:rsid w:val="0005276F"/>
    <w:rsid w:val="0005636F"/>
    <w:rsid w:val="000567FA"/>
    <w:rsid w:val="00056C88"/>
    <w:rsid w:val="00057642"/>
    <w:rsid w:val="00057ECA"/>
    <w:rsid w:val="00070AA4"/>
    <w:rsid w:val="0007411D"/>
    <w:rsid w:val="00080160"/>
    <w:rsid w:val="000802FA"/>
    <w:rsid w:val="0008320B"/>
    <w:rsid w:val="00087F8A"/>
    <w:rsid w:val="00091F47"/>
    <w:rsid w:val="0009394B"/>
    <w:rsid w:val="00095C18"/>
    <w:rsid w:val="000A2476"/>
    <w:rsid w:val="000A2850"/>
    <w:rsid w:val="000A5901"/>
    <w:rsid w:val="000B272C"/>
    <w:rsid w:val="000B485F"/>
    <w:rsid w:val="000B6BCB"/>
    <w:rsid w:val="000B7368"/>
    <w:rsid w:val="000B73BD"/>
    <w:rsid w:val="000C0799"/>
    <w:rsid w:val="000C10E5"/>
    <w:rsid w:val="000C1935"/>
    <w:rsid w:val="000C38BA"/>
    <w:rsid w:val="000C47E6"/>
    <w:rsid w:val="000C60D9"/>
    <w:rsid w:val="000C6129"/>
    <w:rsid w:val="000C6B98"/>
    <w:rsid w:val="000C736A"/>
    <w:rsid w:val="000D0F9F"/>
    <w:rsid w:val="000D61B1"/>
    <w:rsid w:val="000D6854"/>
    <w:rsid w:val="000E0EF8"/>
    <w:rsid w:val="000E2698"/>
    <w:rsid w:val="000E2BF0"/>
    <w:rsid w:val="000E2DF6"/>
    <w:rsid w:val="000E61E0"/>
    <w:rsid w:val="000F1A2C"/>
    <w:rsid w:val="000F3B46"/>
    <w:rsid w:val="001002A7"/>
    <w:rsid w:val="00100879"/>
    <w:rsid w:val="0010281A"/>
    <w:rsid w:val="00105283"/>
    <w:rsid w:val="001072AE"/>
    <w:rsid w:val="00107DDD"/>
    <w:rsid w:val="00117D39"/>
    <w:rsid w:val="00121AD3"/>
    <w:rsid w:val="00123E04"/>
    <w:rsid w:val="001257D6"/>
    <w:rsid w:val="00127956"/>
    <w:rsid w:val="00130F78"/>
    <w:rsid w:val="001325EF"/>
    <w:rsid w:val="0013318C"/>
    <w:rsid w:val="00134CD1"/>
    <w:rsid w:val="00136688"/>
    <w:rsid w:val="00137AAA"/>
    <w:rsid w:val="00145355"/>
    <w:rsid w:val="00147AB7"/>
    <w:rsid w:val="001505B9"/>
    <w:rsid w:val="001514F6"/>
    <w:rsid w:val="0015267B"/>
    <w:rsid w:val="00153CDD"/>
    <w:rsid w:val="00156ACB"/>
    <w:rsid w:val="00156E76"/>
    <w:rsid w:val="00162D0F"/>
    <w:rsid w:val="001776FC"/>
    <w:rsid w:val="00180DC0"/>
    <w:rsid w:val="00182A7A"/>
    <w:rsid w:val="00182D55"/>
    <w:rsid w:val="001845FF"/>
    <w:rsid w:val="001876BC"/>
    <w:rsid w:val="0019538F"/>
    <w:rsid w:val="001A3953"/>
    <w:rsid w:val="001A39D9"/>
    <w:rsid w:val="001A409E"/>
    <w:rsid w:val="001A4B5E"/>
    <w:rsid w:val="001A5F60"/>
    <w:rsid w:val="001B1FDE"/>
    <w:rsid w:val="001B783A"/>
    <w:rsid w:val="001C0055"/>
    <w:rsid w:val="001C1FB9"/>
    <w:rsid w:val="001C3C29"/>
    <w:rsid w:val="001C4196"/>
    <w:rsid w:val="001C5F92"/>
    <w:rsid w:val="001D1042"/>
    <w:rsid w:val="001D5942"/>
    <w:rsid w:val="001D6B0C"/>
    <w:rsid w:val="001D72EB"/>
    <w:rsid w:val="001E0E8D"/>
    <w:rsid w:val="001F3345"/>
    <w:rsid w:val="002022B4"/>
    <w:rsid w:val="002032D7"/>
    <w:rsid w:val="00205EBD"/>
    <w:rsid w:val="00206453"/>
    <w:rsid w:val="00210523"/>
    <w:rsid w:val="00213B1B"/>
    <w:rsid w:val="00216E47"/>
    <w:rsid w:val="002209D9"/>
    <w:rsid w:val="0022580F"/>
    <w:rsid w:val="00226C87"/>
    <w:rsid w:val="00226FCA"/>
    <w:rsid w:val="002308F7"/>
    <w:rsid w:val="00231481"/>
    <w:rsid w:val="0023295C"/>
    <w:rsid w:val="00244525"/>
    <w:rsid w:val="00244DB0"/>
    <w:rsid w:val="002450EE"/>
    <w:rsid w:val="00250674"/>
    <w:rsid w:val="00255621"/>
    <w:rsid w:val="00256793"/>
    <w:rsid w:val="00256994"/>
    <w:rsid w:val="00264DD0"/>
    <w:rsid w:val="002727A6"/>
    <w:rsid w:val="00281E38"/>
    <w:rsid w:val="002834FC"/>
    <w:rsid w:val="00291112"/>
    <w:rsid w:val="0029317A"/>
    <w:rsid w:val="002937FF"/>
    <w:rsid w:val="002947FB"/>
    <w:rsid w:val="00297501"/>
    <w:rsid w:val="002A0550"/>
    <w:rsid w:val="002A157A"/>
    <w:rsid w:val="002A1DF6"/>
    <w:rsid w:val="002A3BFC"/>
    <w:rsid w:val="002A5672"/>
    <w:rsid w:val="002A6C02"/>
    <w:rsid w:val="002A7E81"/>
    <w:rsid w:val="002B0E26"/>
    <w:rsid w:val="002B41B5"/>
    <w:rsid w:val="002B6583"/>
    <w:rsid w:val="002C4A3E"/>
    <w:rsid w:val="002C4FE0"/>
    <w:rsid w:val="002C52EC"/>
    <w:rsid w:val="002C79C9"/>
    <w:rsid w:val="002F1DCB"/>
    <w:rsid w:val="002F43A6"/>
    <w:rsid w:val="002F4C38"/>
    <w:rsid w:val="002F4F42"/>
    <w:rsid w:val="00302734"/>
    <w:rsid w:val="00307DBC"/>
    <w:rsid w:val="00313B25"/>
    <w:rsid w:val="00314893"/>
    <w:rsid w:val="0031613F"/>
    <w:rsid w:val="00316B0B"/>
    <w:rsid w:val="00317790"/>
    <w:rsid w:val="003203F9"/>
    <w:rsid w:val="0032040A"/>
    <w:rsid w:val="00325761"/>
    <w:rsid w:val="00333A5B"/>
    <w:rsid w:val="00334CD4"/>
    <w:rsid w:val="00335DD0"/>
    <w:rsid w:val="0034690E"/>
    <w:rsid w:val="00351998"/>
    <w:rsid w:val="0036311A"/>
    <w:rsid w:val="00363989"/>
    <w:rsid w:val="00371C30"/>
    <w:rsid w:val="00376FC1"/>
    <w:rsid w:val="00377384"/>
    <w:rsid w:val="003957D8"/>
    <w:rsid w:val="003A0A34"/>
    <w:rsid w:val="003A2B86"/>
    <w:rsid w:val="003A357B"/>
    <w:rsid w:val="003B1919"/>
    <w:rsid w:val="003B33A1"/>
    <w:rsid w:val="003C2D03"/>
    <w:rsid w:val="003C4846"/>
    <w:rsid w:val="003C53D9"/>
    <w:rsid w:val="003C5B72"/>
    <w:rsid w:val="003D235B"/>
    <w:rsid w:val="003D44BC"/>
    <w:rsid w:val="003D5E43"/>
    <w:rsid w:val="003E5C24"/>
    <w:rsid w:val="003E686E"/>
    <w:rsid w:val="003F11CA"/>
    <w:rsid w:val="003F4D84"/>
    <w:rsid w:val="003F6516"/>
    <w:rsid w:val="003F6BAA"/>
    <w:rsid w:val="00400353"/>
    <w:rsid w:val="00400693"/>
    <w:rsid w:val="00401174"/>
    <w:rsid w:val="0040271D"/>
    <w:rsid w:val="00402A7B"/>
    <w:rsid w:val="00402E90"/>
    <w:rsid w:val="00406364"/>
    <w:rsid w:val="00415824"/>
    <w:rsid w:val="00417AEE"/>
    <w:rsid w:val="00422650"/>
    <w:rsid w:val="004260ED"/>
    <w:rsid w:val="0042666A"/>
    <w:rsid w:val="004323C0"/>
    <w:rsid w:val="004378E7"/>
    <w:rsid w:val="00443DFC"/>
    <w:rsid w:val="00446BB6"/>
    <w:rsid w:val="004478B6"/>
    <w:rsid w:val="0045054D"/>
    <w:rsid w:val="0045208A"/>
    <w:rsid w:val="004558A3"/>
    <w:rsid w:val="00455FBB"/>
    <w:rsid w:val="004715FD"/>
    <w:rsid w:val="00476265"/>
    <w:rsid w:val="00483AE0"/>
    <w:rsid w:val="00490F15"/>
    <w:rsid w:val="00490F9F"/>
    <w:rsid w:val="004935DD"/>
    <w:rsid w:val="004937B1"/>
    <w:rsid w:val="00495DD0"/>
    <w:rsid w:val="0049790A"/>
    <w:rsid w:val="004A4538"/>
    <w:rsid w:val="004A658E"/>
    <w:rsid w:val="004A681E"/>
    <w:rsid w:val="004A6B54"/>
    <w:rsid w:val="004A723E"/>
    <w:rsid w:val="004B70BF"/>
    <w:rsid w:val="004E4039"/>
    <w:rsid w:val="004F2524"/>
    <w:rsid w:val="004F3EF6"/>
    <w:rsid w:val="004F4D87"/>
    <w:rsid w:val="00503D2C"/>
    <w:rsid w:val="005076AF"/>
    <w:rsid w:val="0051004C"/>
    <w:rsid w:val="005116CA"/>
    <w:rsid w:val="0051182D"/>
    <w:rsid w:val="0051188A"/>
    <w:rsid w:val="00516394"/>
    <w:rsid w:val="00523933"/>
    <w:rsid w:val="00523FE5"/>
    <w:rsid w:val="005264B2"/>
    <w:rsid w:val="005340CF"/>
    <w:rsid w:val="00534C7B"/>
    <w:rsid w:val="005404BB"/>
    <w:rsid w:val="00540EAA"/>
    <w:rsid w:val="005430AB"/>
    <w:rsid w:val="00543E2E"/>
    <w:rsid w:val="00544355"/>
    <w:rsid w:val="005476F5"/>
    <w:rsid w:val="00554036"/>
    <w:rsid w:val="00555DF5"/>
    <w:rsid w:val="005569F0"/>
    <w:rsid w:val="005647D5"/>
    <w:rsid w:val="005665CE"/>
    <w:rsid w:val="00570423"/>
    <w:rsid w:val="00572DEC"/>
    <w:rsid w:val="0057321A"/>
    <w:rsid w:val="00575E27"/>
    <w:rsid w:val="00576BB0"/>
    <w:rsid w:val="005810B6"/>
    <w:rsid w:val="005812B0"/>
    <w:rsid w:val="00582660"/>
    <w:rsid w:val="00586055"/>
    <w:rsid w:val="00590A5F"/>
    <w:rsid w:val="00597A10"/>
    <w:rsid w:val="00597F16"/>
    <w:rsid w:val="005A04DA"/>
    <w:rsid w:val="005A64D4"/>
    <w:rsid w:val="005A6572"/>
    <w:rsid w:val="005A672F"/>
    <w:rsid w:val="005A70E9"/>
    <w:rsid w:val="005C25C4"/>
    <w:rsid w:val="005C4F93"/>
    <w:rsid w:val="005D02A7"/>
    <w:rsid w:val="005D063F"/>
    <w:rsid w:val="005D0F64"/>
    <w:rsid w:val="005D3756"/>
    <w:rsid w:val="005D4545"/>
    <w:rsid w:val="005D58CF"/>
    <w:rsid w:val="005D65F2"/>
    <w:rsid w:val="005D6AED"/>
    <w:rsid w:val="005E1EDD"/>
    <w:rsid w:val="005E574A"/>
    <w:rsid w:val="005E5BB4"/>
    <w:rsid w:val="005F5D1B"/>
    <w:rsid w:val="005F7413"/>
    <w:rsid w:val="00600BFA"/>
    <w:rsid w:val="00601161"/>
    <w:rsid w:val="00601396"/>
    <w:rsid w:val="00601CF0"/>
    <w:rsid w:val="0060247F"/>
    <w:rsid w:val="00604F23"/>
    <w:rsid w:val="00605760"/>
    <w:rsid w:val="006078F4"/>
    <w:rsid w:val="00616EBE"/>
    <w:rsid w:val="006218E1"/>
    <w:rsid w:val="0063560C"/>
    <w:rsid w:val="00641F6C"/>
    <w:rsid w:val="006422A6"/>
    <w:rsid w:val="00644B4A"/>
    <w:rsid w:val="0065018F"/>
    <w:rsid w:val="006529E9"/>
    <w:rsid w:val="00657B83"/>
    <w:rsid w:val="006706F6"/>
    <w:rsid w:val="0067156C"/>
    <w:rsid w:val="0067356B"/>
    <w:rsid w:val="00675EA9"/>
    <w:rsid w:val="0067624D"/>
    <w:rsid w:val="00681D58"/>
    <w:rsid w:val="00681E3F"/>
    <w:rsid w:val="00682384"/>
    <w:rsid w:val="00683CB3"/>
    <w:rsid w:val="00683CBD"/>
    <w:rsid w:val="00685F93"/>
    <w:rsid w:val="0069104C"/>
    <w:rsid w:val="00692B8E"/>
    <w:rsid w:val="00693856"/>
    <w:rsid w:val="00694969"/>
    <w:rsid w:val="0069684E"/>
    <w:rsid w:val="006A07CB"/>
    <w:rsid w:val="006A29B0"/>
    <w:rsid w:val="006A7CCA"/>
    <w:rsid w:val="006B194B"/>
    <w:rsid w:val="006B1C15"/>
    <w:rsid w:val="006B66E8"/>
    <w:rsid w:val="006C437D"/>
    <w:rsid w:val="006C4608"/>
    <w:rsid w:val="006D24C9"/>
    <w:rsid w:val="006D36C8"/>
    <w:rsid w:val="006D3EF4"/>
    <w:rsid w:val="006D7D08"/>
    <w:rsid w:val="006E100D"/>
    <w:rsid w:val="006E2D61"/>
    <w:rsid w:val="006E4065"/>
    <w:rsid w:val="006E7FF8"/>
    <w:rsid w:val="0070229D"/>
    <w:rsid w:val="00704924"/>
    <w:rsid w:val="007139EE"/>
    <w:rsid w:val="00722787"/>
    <w:rsid w:val="00722FAE"/>
    <w:rsid w:val="00731CE0"/>
    <w:rsid w:val="007331D9"/>
    <w:rsid w:val="007339AA"/>
    <w:rsid w:val="00740DD6"/>
    <w:rsid w:val="00741E54"/>
    <w:rsid w:val="00745E1D"/>
    <w:rsid w:val="0075174E"/>
    <w:rsid w:val="00752EFF"/>
    <w:rsid w:val="007532A2"/>
    <w:rsid w:val="00761E06"/>
    <w:rsid w:val="00763756"/>
    <w:rsid w:val="00764160"/>
    <w:rsid w:val="007642EE"/>
    <w:rsid w:val="00770343"/>
    <w:rsid w:val="00772D15"/>
    <w:rsid w:val="0078124F"/>
    <w:rsid w:val="007870A0"/>
    <w:rsid w:val="00797ABA"/>
    <w:rsid w:val="007A69EA"/>
    <w:rsid w:val="007B1954"/>
    <w:rsid w:val="007B338A"/>
    <w:rsid w:val="007B437C"/>
    <w:rsid w:val="007B4415"/>
    <w:rsid w:val="007B7944"/>
    <w:rsid w:val="007C0AD5"/>
    <w:rsid w:val="007D167F"/>
    <w:rsid w:val="007D3073"/>
    <w:rsid w:val="007D3E23"/>
    <w:rsid w:val="007D4DCE"/>
    <w:rsid w:val="007E0005"/>
    <w:rsid w:val="007E2186"/>
    <w:rsid w:val="007E4F49"/>
    <w:rsid w:val="007E71B2"/>
    <w:rsid w:val="007F0F35"/>
    <w:rsid w:val="007F4683"/>
    <w:rsid w:val="007F6054"/>
    <w:rsid w:val="008017A5"/>
    <w:rsid w:val="0080351D"/>
    <w:rsid w:val="00805A17"/>
    <w:rsid w:val="00806836"/>
    <w:rsid w:val="008236A9"/>
    <w:rsid w:val="00827311"/>
    <w:rsid w:val="00827E88"/>
    <w:rsid w:val="00832B23"/>
    <w:rsid w:val="0083612E"/>
    <w:rsid w:val="008410F9"/>
    <w:rsid w:val="008414B6"/>
    <w:rsid w:val="00845AA8"/>
    <w:rsid w:val="00845DFD"/>
    <w:rsid w:val="00846EC6"/>
    <w:rsid w:val="0085003E"/>
    <w:rsid w:val="00850A3D"/>
    <w:rsid w:val="0085194F"/>
    <w:rsid w:val="008560A9"/>
    <w:rsid w:val="008606D2"/>
    <w:rsid w:val="00865E17"/>
    <w:rsid w:val="00867AB2"/>
    <w:rsid w:val="0087042B"/>
    <w:rsid w:val="00874207"/>
    <w:rsid w:val="00880DDE"/>
    <w:rsid w:val="008958CF"/>
    <w:rsid w:val="008959F9"/>
    <w:rsid w:val="00897D9F"/>
    <w:rsid w:val="008A23E3"/>
    <w:rsid w:val="008A517C"/>
    <w:rsid w:val="008B1FE5"/>
    <w:rsid w:val="008B3A6D"/>
    <w:rsid w:val="008B698B"/>
    <w:rsid w:val="008C16C8"/>
    <w:rsid w:val="008C38C2"/>
    <w:rsid w:val="008D3EBF"/>
    <w:rsid w:val="008D3F14"/>
    <w:rsid w:val="008D4AC9"/>
    <w:rsid w:val="008E01E4"/>
    <w:rsid w:val="008E0336"/>
    <w:rsid w:val="008E0A10"/>
    <w:rsid w:val="008E0E31"/>
    <w:rsid w:val="008E2870"/>
    <w:rsid w:val="008E7D67"/>
    <w:rsid w:val="00900902"/>
    <w:rsid w:val="00902B4A"/>
    <w:rsid w:val="00903B61"/>
    <w:rsid w:val="009103BF"/>
    <w:rsid w:val="009135DE"/>
    <w:rsid w:val="00916C35"/>
    <w:rsid w:val="009252CD"/>
    <w:rsid w:val="009256E1"/>
    <w:rsid w:val="009354FC"/>
    <w:rsid w:val="009410F8"/>
    <w:rsid w:val="0095071C"/>
    <w:rsid w:val="0095118F"/>
    <w:rsid w:val="009538B7"/>
    <w:rsid w:val="00955382"/>
    <w:rsid w:val="00956955"/>
    <w:rsid w:val="0095696C"/>
    <w:rsid w:val="00956BCC"/>
    <w:rsid w:val="00956F65"/>
    <w:rsid w:val="00960357"/>
    <w:rsid w:val="00964495"/>
    <w:rsid w:val="00971265"/>
    <w:rsid w:val="00972B78"/>
    <w:rsid w:val="00976506"/>
    <w:rsid w:val="00980308"/>
    <w:rsid w:val="00981FA6"/>
    <w:rsid w:val="00991083"/>
    <w:rsid w:val="00991BDA"/>
    <w:rsid w:val="00993929"/>
    <w:rsid w:val="00993E2A"/>
    <w:rsid w:val="0099573B"/>
    <w:rsid w:val="009A1017"/>
    <w:rsid w:val="009A3BFA"/>
    <w:rsid w:val="009A4658"/>
    <w:rsid w:val="009A4C46"/>
    <w:rsid w:val="009A71AC"/>
    <w:rsid w:val="009A772E"/>
    <w:rsid w:val="009A7CB4"/>
    <w:rsid w:val="009B217A"/>
    <w:rsid w:val="009B22C6"/>
    <w:rsid w:val="009B4A75"/>
    <w:rsid w:val="009B5690"/>
    <w:rsid w:val="009C0A19"/>
    <w:rsid w:val="009D1045"/>
    <w:rsid w:val="009D1ECD"/>
    <w:rsid w:val="009D3309"/>
    <w:rsid w:val="009D484A"/>
    <w:rsid w:val="009D6A76"/>
    <w:rsid w:val="009D71BF"/>
    <w:rsid w:val="009D7689"/>
    <w:rsid w:val="009E1235"/>
    <w:rsid w:val="009E485B"/>
    <w:rsid w:val="009E4914"/>
    <w:rsid w:val="009E599F"/>
    <w:rsid w:val="009F5AA6"/>
    <w:rsid w:val="00A1240C"/>
    <w:rsid w:val="00A16401"/>
    <w:rsid w:val="00A16D56"/>
    <w:rsid w:val="00A1729C"/>
    <w:rsid w:val="00A210DF"/>
    <w:rsid w:val="00A224A0"/>
    <w:rsid w:val="00A250E6"/>
    <w:rsid w:val="00A2745F"/>
    <w:rsid w:val="00A32AF3"/>
    <w:rsid w:val="00A46F23"/>
    <w:rsid w:val="00A50965"/>
    <w:rsid w:val="00A50E38"/>
    <w:rsid w:val="00A51554"/>
    <w:rsid w:val="00A528EA"/>
    <w:rsid w:val="00A54292"/>
    <w:rsid w:val="00A5568D"/>
    <w:rsid w:val="00A55C23"/>
    <w:rsid w:val="00A60F9F"/>
    <w:rsid w:val="00A67E0E"/>
    <w:rsid w:val="00A838DB"/>
    <w:rsid w:val="00A83C2D"/>
    <w:rsid w:val="00A84E9F"/>
    <w:rsid w:val="00A85DE0"/>
    <w:rsid w:val="00A865DE"/>
    <w:rsid w:val="00A900FF"/>
    <w:rsid w:val="00A92503"/>
    <w:rsid w:val="00A95904"/>
    <w:rsid w:val="00A95B85"/>
    <w:rsid w:val="00A97F3F"/>
    <w:rsid w:val="00AA5973"/>
    <w:rsid w:val="00AA5CD5"/>
    <w:rsid w:val="00AB032D"/>
    <w:rsid w:val="00AB42B7"/>
    <w:rsid w:val="00AB5C6A"/>
    <w:rsid w:val="00AB7121"/>
    <w:rsid w:val="00AC2A21"/>
    <w:rsid w:val="00AC2EEF"/>
    <w:rsid w:val="00AD2AA1"/>
    <w:rsid w:val="00AD4E76"/>
    <w:rsid w:val="00AD7FD9"/>
    <w:rsid w:val="00AE145A"/>
    <w:rsid w:val="00AE3370"/>
    <w:rsid w:val="00AE489B"/>
    <w:rsid w:val="00AF2C0B"/>
    <w:rsid w:val="00AF342E"/>
    <w:rsid w:val="00AF3756"/>
    <w:rsid w:val="00AF3C84"/>
    <w:rsid w:val="00AF6EEC"/>
    <w:rsid w:val="00B00304"/>
    <w:rsid w:val="00B013CB"/>
    <w:rsid w:val="00B01C83"/>
    <w:rsid w:val="00B01DD7"/>
    <w:rsid w:val="00B026B6"/>
    <w:rsid w:val="00B177F2"/>
    <w:rsid w:val="00B23D8A"/>
    <w:rsid w:val="00B23FD0"/>
    <w:rsid w:val="00B26334"/>
    <w:rsid w:val="00B2722E"/>
    <w:rsid w:val="00B278E6"/>
    <w:rsid w:val="00B35758"/>
    <w:rsid w:val="00B430A7"/>
    <w:rsid w:val="00B4468A"/>
    <w:rsid w:val="00B55C88"/>
    <w:rsid w:val="00B55DDF"/>
    <w:rsid w:val="00B56476"/>
    <w:rsid w:val="00B56794"/>
    <w:rsid w:val="00B61C36"/>
    <w:rsid w:val="00B70BC1"/>
    <w:rsid w:val="00B72DC5"/>
    <w:rsid w:val="00B753CB"/>
    <w:rsid w:val="00B8106C"/>
    <w:rsid w:val="00B81345"/>
    <w:rsid w:val="00B852EF"/>
    <w:rsid w:val="00B9042E"/>
    <w:rsid w:val="00B944CF"/>
    <w:rsid w:val="00BA4CB4"/>
    <w:rsid w:val="00BB3325"/>
    <w:rsid w:val="00BB5454"/>
    <w:rsid w:val="00BB5C22"/>
    <w:rsid w:val="00BC220E"/>
    <w:rsid w:val="00BC31FB"/>
    <w:rsid w:val="00BC6F53"/>
    <w:rsid w:val="00BC7A6E"/>
    <w:rsid w:val="00BD1CDB"/>
    <w:rsid w:val="00BD3BAC"/>
    <w:rsid w:val="00BE04CA"/>
    <w:rsid w:val="00BF031B"/>
    <w:rsid w:val="00C016B9"/>
    <w:rsid w:val="00C03D0E"/>
    <w:rsid w:val="00C0461B"/>
    <w:rsid w:val="00C06294"/>
    <w:rsid w:val="00C105E3"/>
    <w:rsid w:val="00C112DC"/>
    <w:rsid w:val="00C12688"/>
    <w:rsid w:val="00C1576F"/>
    <w:rsid w:val="00C20414"/>
    <w:rsid w:val="00C21F70"/>
    <w:rsid w:val="00C227F4"/>
    <w:rsid w:val="00C230C8"/>
    <w:rsid w:val="00C27E8C"/>
    <w:rsid w:val="00C3023A"/>
    <w:rsid w:val="00C31826"/>
    <w:rsid w:val="00C34216"/>
    <w:rsid w:val="00C441D8"/>
    <w:rsid w:val="00C4456C"/>
    <w:rsid w:val="00C451EA"/>
    <w:rsid w:val="00C47604"/>
    <w:rsid w:val="00C52662"/>
    <w:rsid w:val="00C5353C"/>
    <w:rsid w:val="00C56A82"/>
    <w:rsid w:val="00C60BD3"/>
    <w:rsid w:val="00C64791"/>
    <w:rsid w:val="00C676BB"/>
    <w:rsid w:val="00C70F03"/>
    <w:rsid w:val="00C726C5"/>
    <w:rsid w:val="00C72E4D"/>
    <w:rsid w:val="00C75D89"/>
    <w:rsid w:val="00C75D9D"/>
    <w:rsid w:val="00C80C4A"/>
    <w:rsid w:val="00C81F38"/>
    <w:rsid w:val="00C82C25"/>
    <w:rsid w:val="00C8401F"/>
    <w:rsid w:val="00C84475"/>
    <w:rsid w:val="00C90768"/>
    <w:rsid w:val="00C92D45"/>
    <w:rsid w:val="00C95329"/>
    <w:rsid w:val="00CA1910"/>
    <w:rsid w:val="00CA2153"/>
    <w:rsid w:val="00CA25ED"/>
    <w:rsid w:val="00CA30D2"/>
    <w:rsid w:val="00CA5F23"/>
    <w:rsid w:val="00CA6C11"/>
    <w:rsid w:val="00CB0451"/>
    <w:rsid w:val="00CB2B7E"/>
    <w:rsid w:val="00CC5791"/>
    <w:rsid w:val="00CD1362"/>
    <w:rsid w:val="00CD1DEB"/>
    <w:rsid w:val="00CD32E7"/>
    <w:rsid w:val="00CD3F3C"/>
    <w:rsid w:val="00CD6D7A"/>
    <w:rsid w:val="00CE106F"/>
    <w:rsid w:val="00CE35E7"/>
    <w:rsid w:val="00CF17FF"/>
    <w:rsid w:val="00CF7159"/>
    <w:rsid w:val="00D00897"/>
    <w:rsid w:val="00D02EC0"/>
    <w:rsid w:val="00D05C6D"/>
    <w:rsid w:val="00D07559"/>
    <w:rsid w:val="00D10296"/>
    <w:rsid w:val="00D2178C"/>
    <w:rsid w:val="00D21879"/>
    <w:rsid w:val="00D260E4"/>
    <w:rsid w:val="00D32740"/>
    <w:rsid w:val="00D366CF"/>
    <w:rsid w:val="00D36A69"/>
    <w:rsid w:val="00D36E47"/>
    <w:rsid w:val="00D4073D"/>
    <w:rsid w:val="00D45A98"/>
    <w:rsid w:val="00D46688"/>
    <w:rsid w:val="00D46DAF"/>
    <w:rsid w:val="00D4710E"/>
    <w:rsid w:val="00D47B59"/>
    <w:rsid w:val="00D5097D"/>
    <w:rsid w:val="00D50CE2"/>
    <w:rsid w:val="00D516CB"/>
    <w:rsid w:val="00D56DC5"/>
    <w:rsid w:val="00D6006C"/>
    <w:rsid w:val="00D64410"/>
    <w:rsid w:val="00D66615"/>
    <w:rsid w:val="00D677A7"/>
    <w:rsid w:val="00D705A9"/>
    <w:rsid w:val="00D738FE"/>
    <w:rsid w:val="00D7437E"/>
    <w:rsid w:val="00D80860"/>
    <w:rsid w:val="00D820ED"/>
    <w:rsid w:val="00D83A9D"/>
    <w:rsid w:val="00D83E25"/>
    <w:rsid w:val="00D850E3"/>
    <w:rsid w:val="00D87C4D"/>
    <w:rsid w:val="00D90735"/>
    <w:rsid w:val="00D9128C"/>
    <w:rsid w:val="00D93931"/>
    <w:rsid w:val="00DA0AF1"/>
    <w:rsid w:val="00DA1DDB"/>
    <w:rsid w:val="00DA3412"/>
    <w:rsid w:val="00DA5059"/>
    <w:rsid w:val="00DB40E4"/>
    <w:rsid w:val="00DB62C8"/>
    <w:rsid w:val="00DB63E2"/>
    <w:rsid w:val="00DC0D17"/>
    <w:rsid w:val="00DC2FB3"/>
    <w:rsid w:val="00DC3CB3"/>
    <w:rsid w:val="00DC42E2"/>
    <w:rsid w:val="00DC73EB"/>
    <w:rsid w:val="00DE4A0C"/>
    <w:rsid w:val="00DE5CEA"/>
    <w:rsid w:val="00DE77B1"/>
    <w:rsid w:val="00DF12A0"/>
    <w:rsid w:val="00E03F15"/>
    <w:rsid w:val="00E06D6E"/>
    <w:rsid w:val="00E120FE"/>
    <w:rsid w:val="00E146A9"/>
    <w:rsid w:val="00E14ED8"/>
    <w:rsid w:val="00E168C1"/>
    <w:rsid w:val="00E16D7F"/>
    <w:rsid w:val="00E17AA3"/>
    <w:rsid w:val="00E22E69"/>
    <w:rsid w:val="00E240B7"/>
    <w:rsid w:val="00E25E60"/>
    <w:rsid w:val="00E2719E"/>
    <w:rsid w:val="00E303C8"/>
    <w:rsid w:val="00E321B2"/>
    <w:rsid w:val="00E36BC2"/>
    <w:rsid w:val="00E36F73"/>
    <w:rsid w:val="00E37963"/>
    <w:rsid w:val="00E4465E"/>
    <w:rsid w:val="00E4767D"/>
    <w:rsid w:val="00E54D5F"/>
    <w:rsid w:val="00E54EDE"/>
    <w:rsid w:val="00E61BAC"/>
    <w:rsid w:val="00E63422"/>
    <w:rsid w:val="00E63FAC"/>
    <w:rsid w:val="00E64062"/>
    <w:rsid w:val="00E64067"/>
    <w:rsid w:val="00E7042D"/>
    <w:rsid w:val="00E74D22"/>
    <w:rsid w:val="00E75F7A"/>
    <w:rsid w:val="00E8510C"/>
    <w:rsid w:val="00E86590"/>
    <w:rsid w:val="00E87C38"/>
    <w:rsid w:val="00E9199A"/>
    <w:rsid w:val="00E941E3"/>
    <w:rsid w:val="00E96952"/>
    <w:rsid w:val="00EA2C0C"/>
    <w:rsid w:val="00EA472F"/>
    <w:rsid w:val="00EC00F5"/>
    <w:rsid w:val="00EC188E"/>
    <w:rsid w:val="00EC291D"/>
    <w:rsid w:val="00EC3C45"/>
    <w:rsid w:val="00ED1F5D"/>
    <w:rsid w:val="00ED2FF2"/>
    <w:rsid w:val="00ED36F1"/>
    <w:rsid w:val="00EE07AA"/>
    <w:rsid w:val="00EF3B69"/>
    <w:rsid w:val="00F00A25"/>
    <w:rsid w:val="00F02BF0"/>
    <w:rsid w:val="00F0340E"/>
    <w:rsid w:val="00F06F92"/>
    <w:rsid w:val="00F10976"/>
    <w:rsid w:val="00F11109"/>
    <w:rsid w:val="00F13C14"/>
    <w:rsid w:val="00F14572"/>
    <w:rsid w:val="00F17424"/>
    <w:rsid w:val="00F20471"/>
    <w:rsid w:val="00F20AD3"/>
    <w:rsid w:val="00F21388"/>
    <w:rsid w:val="00F22B13"/>
    <w:rsid w:val="00F270ED"/>
    <w:rsid w:val="00F317C3"/>
    <w:rsid w:val="00F324DD"/>
    <w:rsid w:val="00F3280F"/>
    <w:rsid w:val="00F35C3F"/>
    <w:rsid w:val="00F364E3"/>
    <w:rsid w:val="00F36733"/>
    <w:rsid w:val="00F4234A"/>
    <w:rsid w:val="00F42FE6"/>
    <w:rsid w:val="00F44FCC"/>
    <w:rsid w:val="00F46308"/>
    <w:rsid w:val="00F52752"/>
    <w:rsid w:val="00F658D8"/>
    <w:rsid w:val="00F659FD"/>
    <w:rsid w:val="00F720F7"/>
    <w:rsid w:val="00F76077"/>
    <w:rsid w:val="00F779BA"/>
    <w:rsid w:val="00F84BB6"/>
    <w:rsid w:val="00F878AA"/>
    <w:rsid w:val="00F9375C"/>
    <w:rsid w:val="00FA374A"/>
    <w:rsid w:val="00FB7573"/>
    <w:rsid w:val="00FC45F8"/>
    <w:rsid w:val="00FC685A"/>
    <w:rsid w:val="00FC77D7"/>
    <w:rsid w:val="00FD0ECB"/>
    <w:rsid w:val="00FF1328"/>
    <w:rsid w:val="00FF3CD8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F2625A"/>
  <w15:docId w15:val="{1EE49983-37E5-4E60-8881-741D351C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29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29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E9"/>
  </w:style>
  <w:style w:type="paragraph" w:styleId="BalloonText">
    <w:name w:val="Balloon Text"/>
    <w:basedOn w:val="Normal"/>
    <w:link w:val="BalloonTextChar"/>
    <w:rsid w:val="00AB7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7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Manual</vt:lpstr>
    </vt:vector>
  </TitlesOfParts>
  <Company> </Company>
  <LinksUpToDate>false</LinksUpToDate>
  <CharactersWithSpaces>14885</CharactersWithSpaces>
  <SharedDoc>false</SharedDoc>
  <HLinks>
    <vt:vector size="12" baseType="variant">
      <vt:variant>
        <vt:i4>4456495</vt:i4>
      </vt:variant>
      <vt:variant>
        <vt:i4>-1</vt:i4>
      </vt:variant>
      <vt:variant>
        <vt:i4>2051</vt:i4>
      </vt:variant>
      <vt:variant>
        <vt:i4>1</vt:i4>
      </vt:variant>
      <vt:variant>
        <vt:lpwstr>Logo_Contract Direct</vt:lpwstr>
      </vt:variant>
      <vt:variant>
        <vt:lpwstr/>
      </vt:variant>
      <vt:variant>
        <vt:i4>2687030</vt:i4>
      </vt:variant>
      <vt:variant>
        <vt:i4>-1</vt:i4>
      </vt:variant>
      <vt:variant>
        <vt:i4>1030</vt:i4>
      </vt:variant>
      <vt:variant>
        <vt:i4>1</vt:i4>
      </vt:variant>
      <vt:variant>
        <vt:lpwstr>Boomrod, Ahmed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Manual</dc:title>
  <dc:subject/>
  <dc:creator>dsmith</dc:creator>
  <cp:keywords/>
  <dc:description/>
  <cp:lastModifiedBy>Mike Cadotte</cp:lastModifiedBy>
  <cp:revision>2</cp:revision>
  <cp:lastPrinted>2016-07-05T17:57:00Z</cp:lastPrinted>
  <dcterms:created xsi:type="dcterms:W3CDTF">2016-10-20T19:36:00Z</dcterms:created>
  <dcterms:modified xsi:type="dcterms:W3CDTF">2016-10-20T19:36:00Z</dcterms:modified>
</cp:coreProperties>
</file>