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CAFF6" w14:textId="77777777" w:rsidR="004A723E" w:rsidRDefault="00401174">
      <w:r>
        <w:t>S</w:t>
      </w:r>
      <w:r w:rsidR="006529E9">
        <w:t xml:space="preserve">afety </w:t>
      </w:r>
      <w:r w:rsidR="00443DFC">
        <w:t xml:space="preserve">Policy </w:t>
      </w:r>
      <w:r w:rsidR="006529E9">
        <w:t>Manual</w:t>
      </w:r>
    </w:p>
    <w:p w14:paraId="78C762B4" w14:textId="77777777" w:rsidR="006529E9" w:rsidRDefault="006529E9">
      <w:r>
        <w:t>Hazard Communication Policy</w:t>
      </w:r>
    </w:p>
    <w:p w14:paraId="14229AA4" w14:textId="62E7E5E8" w:rsidR="006529E9" w:rsidRDefault="00595685">
      <w:r>
        <w:rPr>
          <w:noProof/>
        </w:rPr>
        <w:drawing>
          <wp:anchor distT="0" distB="0" distL="114300" distR="114300" simplePos="0" relativeHeight="251658240" behindDoc="1" locked="0" layoutInCell="1" allowOverlap="1" wp14:anchorId="6FB1AA79" wp14:editId="3A86BD1A">
            <wp:simplePos x="0" y="0"/>
            <wp:positionH relativeFrom="column">
              <wp:posOffset>220980</wp:posOffset>
            </wp:positionH>
            <wp:positionV relativeFrom="paragraph">
              <wp:posOffset>138938</wp:posOffset>
            </wp:positionV>
            <wp:extent cx="2635250" cy="701040"/>
            <wp:effectExtent l="0" t="0" r="0" b="3810"/>
            <wp:wrapNone/>
            <wp:docPr id="6" name="Picture 6" descr="Boomrod, Ah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mrod, Ah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52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768D0" w14:textId="206BCEC4" w:rsidR="0029317A" w:rsidRPr="00C75F9C" w:rsidRDefault="0029317A" w:rsidP="0029317A">
      <w:pPr>
        <w:rPr>
          <w:sz w:val="20"/>
          <w:szCs w:val="20"/>
        </w:rPr>
      </w:pPr>
      <w:r w:rsidRPr="00C75F9C">
        <w:rPr>
          <w:sz w:val="20"/>
          <w:szCs w:val="20"/>
        </w:rPr>
        <w:t>Approved:</w:t>
      </w:r>
    </w:p>
    <w:p w14:paraId="28BCBA85" w14:textId="77777777" w:rsidR="0029317A" w:rsidRPr="00C75F9C" w:rsidRDefault="0029317A" w:rsidP="0029317A">
      <w:pPr>
        <w:tabs>
          <w:tab w:val="left" w:pos="5760"/>
        </w:tabs>
        <w:rPr>
          <w:sz w:val="20"/>
          <w:szCs w:val="20"/>
          <w:u w:val="single"/>
        </w:rPr>
      </w:pPr>
    </w:p>
    <w:p w14:paraId="6B4C5AAD" w14:textId="77777777" w:rsidR="0029317A" w:rsidRPr="00C75F9C" w:rsidRDefault="0029317A" w:rsidP="0029317A">
      <w:pPr>
        <w:tabs>
          <w:tab w:val="left" w:pos="5760"/>
        </w:tabs>
        <w:rPr>
          <w:sz w:val="20"/>
          <w:szCs w:val="20"/>
        </w:rPr>
      </w:pPr>
      <w:r w:rsidRPr="00C75F9C">
        <w:rPr>
          <w:sz w:val="20"/>
          <w:szCs w:val="20"/>
          <w:u w:val="single"/>
        </w:rPr>
        <w:tab/>
      </w:r>
    </w:p>
    <w:p w14:paraId="6B3FA14C" w14:textId="77777777" w:rsidR="0029317A" w:rsidRPr="00C75F9C" w:rsidRDefault="0029317A" w:rsidP="0029317A">
      <w:pPr>
        <w:tabs>
          <w:tab w:val="left" w:pos="360"/>
          <w:tab w:val="left" w:pos="5760"/>
        </w:tabs>
        <w:rPr>
          <w:sz w:val="20"/>
          <w:szCs w:val="20"/>
        </w:rPr>
      </w:pPr>
      <w:r w:rsidRPr="00C75F9C">
        <w:rPr>
          <w:sz w:val="20"/>
          <w:szCs w:val="20"/>
        </w:rPr>
        <w:tab/>
      </w:r>
      <w:r w:rsidR="003F6BAA">
        <w:rPr>
          <w:sz w:val="20"/>
          <w:szCs w:val="20"/>
        </w:rPr>
        <w:t>Ahmed Boomrod</w:t>
      </w:r>
      <w:r w:rsidRPr="00C75F9C">
        <w:rPr>
          <w:sz w:val="20"/>
          <w:szCs w:val="20"/>
        </w:rPr>
        <w:t>, CEO/President</w:t>
      </w:r>
    </w:p>
    <w:p w14:paraId="031BC398" w14:textId="77777777" w:rsidR="0029317A" w:rsidRPr="00C75F9C" w:rsidRDefault="0029317A" w:rsidP="0029317A">
      <w:pPr>
        <w:tabs>
          <w:tab w:val="left" w:pos="5760"/>
        </w:tabs>
        <w:rPr>
          <w:sz w:val="20"/>
          <w:szCs w:val="20"/>
        </w:rPr>
      </w:pPr>
    </w:p>
    <w:p w14:paraId="5B2B4FBF" w14:textId="77777777" w:rsidR="0029317A" w:rsidRPr="00C75F9C" w:rsidRDefault="0029317A" w:rsidP="0029317A">
      <w:pPr>
        <w:tabs>
          <w:tab w:val="left" w:pos="5760"/>
        </w:tabs>
        <w:rPr>
          <w:sz w:val="20"/>
          <w:szCs w:val="20"/>
        </w:rPr>
      </w:pPr>
    </w:p>
    <w:p w14:paraId="279F2EB4" w14:textId="77777777" w:rsidR="0029317A" w:rsidRPr="00C75F9C" w:rsidRDefault="0029317A" w:rsidP="0029317A">
      <w:pPr>
        <w:tabs>
          <w:tab w:val="left" w:pos="5760"/>
        </w:tabs>
        <w:rPr>
          <w:sz w:val="20"/>
          <w:szCs w:val="20"/>
        </w:rPr>
      </w:pPr>
    </w:p>
    <w:p w14:paraId="20CF717B" w14:textId="77777777" w:rsidR="0029317A" w:rsidRPr="00C75F9C" w:rsidRDefault="00172E12" w:rsidP="0029317A">
      <w:pPr>
        <w:tabs>
          <w:tab w:val="left" w:pos="5760"/>
        </w:tabs>
        <w:rPr>
          <w:sz w:val="20"/>
          <w:szCs w:val="20"/>
        </w:rPr>
      </w:pPr>
      <w:r>
        <w:rPr>
          <w:noProof/>
          <w:sz w:val="20"/>
          <w:szCs w:val="20"/>
        </w:rPr>
        <w:drawing>
          <wp:anchor distT="0" distB="0" distL="114300" distR="114300" simplePos="0" relativeHeight="251657216" behindDoc="1" locked="0" layoutInCell="1" allowOverlap="1" wp14:anchorId="46973444" wp14:editId="31BCF044">
            <wp:simplePos x="0" y="0"/>
            <wp:positionH relativeFrom="column">
              <wp:posOffset>1905</wp:posOffset>
            </wp:positionH>
            <wp:positionV relativeFrom="paragraph">
              <wp:posOffset>76200</wp:posOffset>
            </wp:positionV>
            <wp:extent cx="1957705" cy="4572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t="19159" b="20808"/>
                    <a:stretch>
                      <a:fillRect/>
                    </a:stretch>
                  </pic:blipFill>
                  <pic:spPr bwMode="auto">
                    <a:xfrm>
                      <a:off x="0" y="0"/>
                      <a:ext cx="19577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317A" w:rsidRPr="00C75F9C">
        <w:rPr>
          <w:sz w:val="20"/>
          <w:szCs w:val="20"/>
        </w:rPr>
        <w:t>Approved:</w:t>
      </w:r>
    </w:p>
    <w:p w14:paraId="5141371A" w14:textId="77777777" w:rsidR="0029317A" w:rsidRPr="00C75F9C" w:rsidRDefault="0029317A" w:rsidP="0029317A">
      <w:pPr>
        <w:tabs>
          <w:tab w:val="left" w:pos="5760"/>
        </w:tabs>
        <w:rPr>
          <w:sz w:val="20"/>
          <w:szCs w:val="20"/>
        </w:rPr>
      </w:pPr>
    </w:p>
    <w:p w14:paraId="4DEBBBDB" w14:textId="77777777" w:rsidR="0029317A" w:rsidRPr="00C75F9C" w:rsidRDefault="0029317A" w:rsidP="0029317A">
      <w:pPr>
        <w:tabs>
          <w:tab w:val="left" w:pos="5760"/>
        </w:tabs>
        <w:rPr>
          <w:sz w:val="20"/>
          <w:szCs w:val="20"/>
        </w:rPr>
      </w:pPr>
      <w:r w:rsidRPr="00C75F9C">
        <w:rPr>
          <w:sz w:val="20"/>
          <w:szCs w:val="20"/>
          <w:u w:val="single"/>
        </w:rPr>
        <w:tab/>
      </w:r>
    </w:p>
    <w:p w14:paraId="6792B179" w14:textId="77777777" w:rsidR="0029317A" w:rsidRPr="00C75F9C" w:rsidRDefault="0029317A" w:rsidP="0029317A">
      <w:pPr>
        <w:tabs>
          <w:tab w:val="left" w:pos="360"/>
          <w:tab w:val="left" w:pos="5760"/>
        </w:tabs>
        <w:rPr>
          <w:sz w:val="20"/>
          <w:szCs w:val="20"/>
        </w:rPr>
      </w:pPr>
      <w:r w:rsidRPr="00C75F9C">
        <w:rPr>
          <w:sz w:val="20"/>
          <w:szCs w:val="20"/>
        </w:rPr>
        <w:tab/>
        <w:t>Michael G. Cad</w:t>
      </w:r>
      <w:r w:rsidR="0051004C">
        <w:rPr>
          <w:sz w:val="20"/>
          <w:szCs w:val="20"/>
        </w:rPr>
        <w:t>otte, VP Safety &amp; Quality</w:t>
      </w:r>
    </w:p>
    <w:p w14:paraId="01AF64E6" w14:textId="77777777" w:rsidR="0029317A" w:rsidRPr="00C75F9C" w:rsidRDefault="0029317A" w:rsidP="0029317A">
      <w:pPr>
        <w:tabs>
          <w:tab w:val="left" w:pos="5760"/>
        </w:tabs>
        <w:rPr>
          <w:sz w:val="20"/>
          <w:szCs w:val="20"/>
        </w:rPr>
      </w:pPr>
    </w:p>
    <w:p w14:paraId="40BE7B49" w14:textId="77777777" w:rsidR="006529E9" w:rsidRDefault="006529E9" w:rsidP="006529E9">
      <w:pPr>
        <w:tabs>
          <w:tab w:val="left" w:pos="5760"/>
        </w:tabs>
      </w:pPr>
    </w:p>
    <w:p w14:paraId="07199E48" w14:textId="77777777" w:rsidR="00F02583" w:rsidRDefault="00F02583">
      <w:pPr>
        <w:rPr>
          <w:b/>
        </w:rPr>
      </w:pPr>
      <w:r>
        <w:rPr>
          <w:b/>
        </w:rPr>
        <w:br w:type="page"/>
      </w:r>
    </w:p>
    <w:p w14:paraId="668C6E0B" w14:textId="4F4437B3" w:rsidR="006529E9" w:rsidRPr="006529E9" w:rsidRDefault="006529E9" w:rsidP="006529E9">
      <w:pPr>
        <w:tabs>
          <w:tab w:val="left" w:pos="5760"/>
        </w:tabs>
        <w:rPr>
          <w:b/>
        </w:rPr>
      </w:pPr>
      <w:r w:rsidRPr="006529E9">
        <w:rPr>
          <w:b/>
        </w:rPr>
        <w:lastRenderedPageBreak/>
        <w:t>Change Record</w:t>
      </w:r>
    </w:p>
    <w:p w14:paraId="34669AA0" w14:textId="77777777" w:rsidR="006529E9" w:rsidRDefault="006529E9" w:rsidP="006529E9">
      <w:pPr>
        <w:tabs>
          <w:tab w:val="left" w:pos="57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341"/>
        <w:gridCol w:w="3601"/>
        <w:gridCol w:w="3905"/>
      </w:tblGrid>
      <w:tr w:rsidR="006529E9" w14:paraId="5A8CF5FB" w14:textId="77777777" w:rsidTr="00A97F3F">
        <w:tc>
          <w:tcPr>
            <w:tcW w:w="1098" w:type="dxa"/>
          </w:tcPr>
          <w:p w14:paraId="5F46C4EA" w14:textId="77777777" w:rsidR="006529E9" w:rsidRPr="00A97F3F" w:rsidRDefault="006529E9"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Rev.:</w:t>
            </w:r>
          </w:p>
        </w:tc>
        <w:tc>
          <w:tcPr>
            <w:tcW w:w="1350" w:type="dxa"/>
          </w:tcPr>
          <w:p w14:paraId="38FD2837" w14:textId="77777777" w:rsidR="006529E9" w:rsidRPr="00A97F3F" w:rsidRDefault="006529E9"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Date:</w:t>
            </w:r>
          </w:p>
        </w:tc>
        <w:tc>
          <w:tcPr>
            <w:tcW w:w="3690" w:type="dxa"/>
          </w:tcPr>
          <w:p w14:paraId="62FC8C56" w14:textId="77777777" w:rsidR="006529E9" w:rsidRPr="00A97F3F" w:rsidRDefault="006529E9"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Responsible Person:</w:t>
            </w:r>
          </w:p>
        </w:tc>
        <w:tc>
          <w:tcPr>
            <w:tcW w:w="4014" w:type="dxa"/>
          </w:tcPr>
          <w:p w14:paraId="0DA0AE97" w14:textId="77777777" w:rsidR="006529E9" w:rsidRPr="00A97F3F" w:rsidRDefault="006529E9"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Description of Change:</w:t>
            </w:r>
          </w:p>
          <w:p w14:paraId="6856872F" w14:textId="77777777" w:rsidR="00683CBD" w:rsidRPr="00A97F3F" w:rsidRDefault="00683CBD" w:rsidP="00A97F3F">
            <w:pPr>
              <w:tabs>
                <w:tab w:val="left" w:pos="5760"/>
              </w:tabs>
              <w:rPr>
                <w:rFonts w:ascii="Times New Roman" w:hAnsi="Times New Roman" w:cs="Times New Roman"/>
                <w:sz w:val="20"/>
                <w:szCs w:val="20"/>
              </w:rPr>
            </w:pPr>
          </w:p>
        </w:tc>
      </w:tr>
      <w:tr w:rsidR="006529E9" w14:paraId="09894CC7" w14:textId="77777777" w:rsidTr="00A97F3F">
        <w:tc>
          <w:tcPr>
            <w:tcW w:w="1098" w:type="dxa"/>
          </w:tcPr>
          <w:p w14:paraId="6CC58B34" w14:textId="77777777" w:rsidR="006529E9" w:rsidRPr="00A97F3F" w:rsidRDefault="006529E9" w:rsidP="00A97F3F">
            <w:pPr>
              <w:tabs>
                <w:tab w:val="left" w:pos="5760"/>
              </w:tabs>
              <w:jc w:val="center"/>
              <w:rPr>
                <w:rFonts w:ascii="Times New Roman" w:hAnsi="Times New Roman" w:cs="Times New Roman"/>
                <w:sz w:val="20"/>
                <w:szCs w:val="20"/>
              </w:rPr>
            </w:pPr>
            <w:r w:rsidRPr="00A97F3F">
              <w:rPr>
                <w:rFonts w:ascii="Times New Roman" w:hAnsi="Times New Roman" w:cs="Times New Roman"/>
                <w:sz w:val="20"/>
                <w:szCs w:val="20"/>
              </w:rPr>
              <w:t>0</w:t>
            </w:r>
          </w:p>
        </w:tc>
        <w:tc>
          <w:tcPr>
            <w:tcW w:w="1350" w:type="dxa"/>
          </w:tcPr>
          <w:p w14:paraId="717A2EBE" w14:textId="77777777" w:rsidR="006529E9" w:rsidRPr="00A97F3F" w:rsidRDefault="006529E9" w:rsidP="00A97F3F">
            <w:pPr>
              <w:tabs>
                <w:tab w:val="left" w:pos="5760"/>
              </w:tabs>
              <w:jc w:val="center"/>
              <w:rPr>
                <w:rFonts w:ascii="Times New Roman" w:hAnsi="Times New Roman" w:cs="Times New Roman"/>
                <w:sz w:val="20"/>
                <w:szCs w:val="20"/>
              </w:rPr>
            </w:pPr>
            <w:r w:rsidRPr="00A97F3F">
              <w:rPr>
                <w:rFonts w:ascii="Times New Roman" w:hAnsi="Times New Roman" w:cs="Times New Roman"/>
                <w:sz w:val="20"/>
                <w:szCs w:val="20"/>
              </w:rPr>
              <w:t>01/07/03</w:t>
            </w:r>
          </w:p>
        </w:tc>
        <w:tc>
          <w:tcPr>
            <w:tcW w:w="3690" w:type="dxa"/>
          </w:tcPr>
          <w:p w14:paraId="77601BBE" w14:textId="77777777" w:rsidR="006529E9" w:rsidRPr="00A97F3F" w:rsidRDefault="006529E9"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M. Cadotte/Director of Admin.</w:t>
            </w:r>
          </w:p>
        </w:tc>
        <w:tc>
          <w:tcPr>
            <w:tcW w:w="4014" w:type="dxa"/>
          </w:tcPr>
          <w:p w14:paraId="3D153771" w14:textId="77777777" w:rsidR="006529E9" w:rsidRPr="00A97F3F" w:rsidRDefault="006529E9"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Initial Release</w:t>
            </w:r>
          </w:p>
          <w:p w14:paraId="71FCC7C9" w14:textId="77777777" w:rsidR="00683CBD" w:rsidRPr="00A97F3F" w:rsidRDefault="00683CBD" w:rsidP="00A97F3F">
            <w:pPr>
              <w:tabs>
                <w:tab w:val="left" w:pos="5760"/>
              </w:tabs>
              <w:rPr>
                <w:rFonts w:ascii="Times New Roman" w:hAnsi="Times New Roman" w:cs="Times New Roman"/>
                <w:sz w:val="20"/>
                <w:szCs w:val="20"/>
              </w:rPr>
            </w:pPr>
          </w:p>
        </w:tc>
      </w:tr>
      <w:tr w:rsidR="006529E9" w14:paraId="00B3E155" w14:textId="77777777" w:rsidTr="00A97F3F">
        <w:tc>
          <w:tcPr>
            <w:tcW w:w="1098" w:type="dxa"/>
          </w:tcPr>
          <w:p w14:paraId="7353315A" w14:textId="77777777" w:rsidR="006529E9" w:rsidRPr="00A97F3F" w:rsidRDefault="006529E9" w:rsidP="00A97F3F">
            <w:pPr>
              <w:tabs>
                <w:tab w:val="left" w:pos="5760"/>
              </w:tabs>
              <w:jc w:val="center"/>
              <w:rPr>
                <w:rFonts w:ascii="Times New Roman" w:hAnsi="Times New Roman" w:cs="Times New Roman"/>
                <w:sz w:val="20"/>
                <w:szCs w:val="20"/>
              </w:rPr>
            </w:pPr>
            <w:r w:rsidRPr="00A97F3F">
              <w:rPr>
                <w:rFonts w:ascii="Times New Roman" w:hAnsi="Times New Roman" w:cs="Times New Roman"/>
                <w:sz w:val="20"/>
                <w:szCs w:val="20"/>
              </w:rPr>
              <w:t>1</w:t>
            </w:r>
          </w:p>
        </w:tc>
        <w:tc>
          <w:tcPr>
            <w:tcW w:w="1350" w:type="dxa"/>
          </w:tcPr>
          <w:p w14:paraId="59993956" w14:textId="77777777" w:rsidR="006529E9" w:rsidRPr="00A97F3F" w:rsidRDefault="006529E9" w:rsidP="00A97F3F">
            <w:pPr>
              <w:tabs>
                <w:tab w:val="left" w:pos="5760"/>
              </w:tabs>
              <w:jc w:val="center"/>
              <w:rPr>
                <w:rFonts w:ascii="Times New Roman" w:hAnsi="Times New Roman" w:cs="Times New Roman"/>
                <w:sz w:val="20"/>
                <w:szCs w:val="20"/>
              </w:rPr>
            </w:pPr>
            <w:r w:rsidRPr="00A97F3F">
              <w:rPr>
                <w:rFonts w:ascii="Times New Roman" w:hAnsi="Times New Roman" w:cs="Times New Roman"/>
                <w:sz w:val="20"/>
                <w:szCs w:val="20"/>
              </w:rPr>
              <w:t>04/10/03</w:t>
            </w:r>
          </w:p>
        </w:tc>
        <w:tc>
          <w:tcPr>
            <w:tcW w:w="3690" w:type="dxa"/>
          </w:tcPr>
          <w:p w14:paraId="66398AF5" w14:textId="77777777" w:rsidR="006529E9" w:rsidRPr="00A97F3F" w:rsidRDefault="006529E9"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M. Cadotte/Director of Admin.</w:t>
            </w:r>
          </w:p>
        </w:tc>
        <w:tc>
          <w:tcPr>
            <w:tcW w:w="4014" w:type="dxa"/>
          </w:tcPr>
          <w:p w14:paraId="4894B65D" w14:textId="77777777" w:rsidR="006529E9" w:rsidRPr="00A97F3F" w:rsidRDefault="006529E9"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Addition of Sections 4.</w:t>
            </w:r>
            <w:r w:rsidR="00401174" w:rsidRPr="00A97F3F">
              <w:rPr>
                <w:rFonts w:ascii="Times New Roman" w:hAnsi="Times New Roman" w:cs="Times New Roman"/>
                <w:sz w:val="20"/>
                <w:szCs w:val="20"/>
              </w:rPr>
              <w:t>6 (Hazardous Material List), 4.5</w:t>
            </w:r>
            <w:r w:rsidRPr="00A97F3F">
              <w:rPr>
                <w:rFonts w:ascii="Times New Roman" w:hAnsi="Times New Roman" w:cs="Times New Roman"/>
                <w:sz w:val="20"/>
                <w:szCs w:val="20"/>
              </w:rPr>
              <w:t xml:space="preserve"> </w:t>
            </w:r>
            <w:r w:rsidR="00401174" w:rsidRPr="00A97F3F">
              <w:rPr>
                <w:rFonts w:ascii="Times New Roman" w:hAnsi="Times New Roman" w:cs="Times New Roman"/>
                <w:sz w:val="20"/>
                <w:szCs w:val="20"/>
              </w:rPr>
              <w:t>(Pipes &amp; Piping Systems) and 4.7</w:t>
            </w:r>
            <w:r w:rsidRPr="00A97F3F">
              <w:rPr>
                <w:rFonts w:ascii="Times New Roman" w:hAnsi="Times New Roman" w:cs="Times New Roman"/>
                <w:sz w:val="20"/>
                <w:szCs w:val="20"/>
              </w:rPr>
              <w:t xml:space="preserve"> (Non-Routine Tasks)</w:t>
            </w:r>
          </w:p>
          <w:p w14:paraId="0C24F411" w14:textId="77777777" w:rsidR="00683CBD" w:rsidRPr="00A97F3F" w:rsidRDefault="00683CBD" w:rsidP="00A97F3F">
            <w:pPr>
              <w:tabs>
                <w:tab w:val="left" w:pos="5760"/>
              </w:tabs>
              <w:rPr>
                <w:rFonts w:ascii="Times New Roman" w:hAnsi="Times New Roman" w:cs="Times New Roman"/>
                <w:sz w:val="20"/>
                <w:szCs w:val="20"/>
              </w:rPr>
            </w:pPr>
          </w:p>
        </w:tc>
      </w:tr>
      <w:tr w:rsidR="006529E9" w14:paraId="384A4499" w14:textId="77777777" w:rsidTr="00A97F3F">
        <w:tc>
          <w:tcPr>
            <w:tcW w:w="1098" w:type="dxa"/>
          </w:tcPr>
          <w:p w14:paraId="0FD8335A" w14:textId="77777777" w:rsidR="006529E9" w:rsidRPr="00A97F3F" w:rsidRDefault="006529E9" w:rsidP="00A97F3F">
            <w:pPr>
              <w:tabs>
                <w:tab w:val="left" w:pos="5760"/>
              </w:tabs>
              <w:jc w:val="center"/>
              <w:rPr>
                <w:rFonts w:ascii="Times New Roman" w:hAnsi="Times New Roman" w:cs="Times New Roman"/>
                <w:sz w:val="20"/>
                <w:szCs w:val="20"/>
              </w:rPr>
            </w:pPr>
            <w:r w:rsidRPr="00A97F3F">
              <w:rPr>
                <w:rFonts w:ascii="Times New Roman" w:hAnsi="Times New Roman" w:cs="Times New Roman"/>
                <w:sz w:val="20"/>
                <w:szCs w:val="20"/>
              </w:rPr>
              <w:t>2</w:t>
            </w:r>
          </w:p>
        </w:tc>
        <w:tc>
          <w:tcPr>
            <w:tcW w:w="1350" w:type="dxa"/>
          </w:tcPr>
          <w:p w14:paraId="7436C362" w14:textId="77777777" w:rsidR="006529E9" w:rsidRPr="00A97F3F" w:rsidRDefault="006529E9" w:rsidP="00A97F3F">
            <w:pPr>
              <w:tabs>
                <w:tab w:val="left" w:pos="5760"/>
              </w:tabs>
              <w:jc w:val="center"/>
              <w:rPr>
                <w:rFonts w:ascii="Times New Roman" w:hAnsi="Times New Roman" w:cs="Times New Roman"/>
                <w:sz w:val="20"/>
                <w:szCs w:val="20"/>
              </w:rPr>
            </w:pPr>
            <w:r w:rsidRPr="00A97F3F">
              <w:rPr>
                <w:rFonts w:ascii="Times New Roman" w:hAnsi="Times New Roman" w:cs="Times New Roman"/>
                <w:sz w:val="20"/>
                <w:szCs w:val="20"/>
              </w:rPr>
              <w:t>04/14/03</w:t>
            </w:r>
          </w:p>
        </w:tc>
        <w:tc>
          <w:tcPr>
            <w:tcW w:w="3690" w:type="dxa"/>
          </w:tcPr>
          <w:p w14:paraId="73F27B13" w14:textId="77777777" w:rsidR="006529E9" w:rsidRPr="00A97F3F" w:rsidRDefault="006529E9"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M. Cadotte/Director of Admin.</w:t>
            </w:r>
          </w:p>
        </w:tc>
        <w:tc>
          <w:tcPr>
            <w:tcW w:w="4014" w:type="dxa"/>
          </w:tcPr>
          <w:p w14:paraId="386882DC" w14:textId="77777777" w:rsidR="006529E9" w:rsidRPr="00A97F3F" w:rsidRDefault="00401174"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Addition of Section 4.8</w:t>
            </w:r>
          </w:p>
          <w:p w14:paraId="1C710E9C" w14:textId="77777777" w:rsidR="00683CBD" w:rsidRPr="00A97F3F" w:rsidRDefault="00683CBD" w:rsidP="00A97F3F">
            <w:pPr>
              <w:tabs>
                <w:tab w:val="left" w:pos="5760"/>
              </w:tabs>
              <w:rPr>
                <w:rFonts w:ascii="Times New Roman" w:hAnsi="Times New Roman" w:cs="Times New Roman"/>
                <w:sz w:val="20"/>
                <w:szCs w:val="20"/>
              </w:rPr>
            </w:pPr>
          </w:p>
        </w:tc>
      </w:tr>
      <w:tr w:rsidR="006529E9" w14:paraId="52AAFC8E" w14:textId="77777777" w:rsidTr="00A97F3F">
        <w:tc>
          <w:tcPr>
            <w:tcW w:w="1098" w:type="dxa"/>
          </w:tcPr>
          <w:p w14:paraId="143677D4" w14:textId="77777777" w:rsidR="006529E9" w:rsidRPr="00A97F3F" w:rsidRDefault="006529E9" w:rsidP="00A97F3F">
            <w:pPr>
              <w:tabs>
                <w:tab w:val="left" w:pos="5760"/>
              </w:tabs>
              <w:jc w:val="center"/>
              <w:rPr>
                <w:rFonts w:ascii="Times New Roman" w:hAnsi="Times New Roman" w:cs="Times New Roman"/>
                <w:sz w:val="20"/>
                <w:szCs w:val="20"/>
              </w:rPr>
            </w:pPr>
            <w:r w:rsidRPr="00A97F3F">
              <w:rPr>
                <w:rFonts w:ascii="Times New Roman" w:hAnsi="Times New Roman" w:cs="Times New Roman"/>
                <w:sz w:val="20"/>
                <w:szCs w:val="20"/>
              </w:rPr>
              <w:t>3</w:t>
            </w:r>
          </w:p>
        </w:tc>
        <w:tc>
          <w:tcPr>
            <w:tcW w:w="1350" w:type="dxa"/>
          </w:tcPr>
          <w:p w14:paraId="089FB61E" w14:textId="77777777" w:rsidR="006529E9" w:rsidRPr="00A97F3F" w:rsidRDefault="006529E9" w:rsidP="00A97F3F">
            <w:pPr>
              <w:tabs>
                <w:tab w:val="left" w:pos="5760"/>
              </w:tabs>
              <w:jc w:val="center"/>
              <w:rPr>
                <w:rFonts w:ascii="Times New Roman" w:hAnsi="Times New Roman" w:cs="Times New Roman"/>
                <w:sz w:val="20"/>
                <w:szCs w:val="20"/>
              </w:rPr>
            </w:pPr>
            <w:r w:rsidRPr="00A97F3F">
              <w:rPr>
                <w:rFonts w:ascii="Times New Roman" w:hAnsi="Times New Roman" w:cs="Times New Roman"/>
                <w:sz w:val="20"/>
                <w:szCs w:val="20"/>
              </w:rPr>
              <w:t>05/17/07</w:t>
            </w:r>
          </w:p>
        </w:tc>
        <w:tc>
          <w:tcPr>
            <w:tcW w:w="3690" w:type="dxa"/>
          </w:tcPr>
          <w:p w14:paraId="721A55EB" w14:textId="77777777" w:rsidR="006529E9" w:rsidRPr="00A97F3F" w:rsidRDefault="006529E9"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M. Cadotte</w:t>
            </w:r>
          </w:p>
        </w:tc>
        <w:tc>
          <w:tcPr>
            <w:tcW w:w="4014" w:type="dxa"/>
          </w:tcPr>
          <w:p w14:paraId="775EFAF9" w14:textId="77777777" w:rsidR="006529E9" w:rsidRPr="00A97F3F" w:rsidRDefault="00401174"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Changes to Section 4.7</w:t>
            </w:r>
            <w:r w:rsidR="006529E9" w:rsidRPr="00A97F3F">
              <w:rPr>
                <w:rFonts w:ascii="Times New Roman" w:hAnsi="Times New Roman" w:cs="Times New Roman"/>
                <w:sz w:val="20"/>
                <w:szCs w:val="20"/>
              </w:rPr>
              <w:t>.3 Blood Borne Pathogen Cleanup Policy</w:t>
            </w:r>
          </w:p>
          <w:p w14:paraId="11CF2429" w14:textId="77777777" w:rsidR="00683CBD" w:rsidRPr="00A97F3F" w:rsidRDefault="00683CBD" w:rsidP="00A97F3F">
            <w:pPr>
              <w:tabs>
                <w:tab w:val="left" w:pos="5760"/>
              </w:tabs>
              <w:rPr>
                <w:rFonts w:ascii="Times New Roman" w:hAnsi="Times New Roman" w:cs="Times New Roman"/>
                <w:sz w:val="20"/>
                <w:szCs w:val="20"/>
              </w:rPr>
            </w:pPr>
          </w:p>
        </w:tc>
      </w:tr>
      <w:tr w:rsidR="006529E9" w14:paraId="796E6EE2" w14:textId="77777777" w:rsidTr="00A97F3F">
        <w:tc>
          <w:tcPr>
            <w:tcW w:w="1098" w:type="dxa"/>
          </w:tcPr>
          <w:p w14:paraId="04A7AE41" w14:textId="77777777" w:rsidR="006529E9" w:rsidRPr="00A97F3F" w:rsidRDefault="006529E9" w:rsidP="00A97F3F">
            <w:pPr>
              <w:tabs>
                <w:tab w:val="left" w:pos="5760"/>
              </w:tabs>
              <w:jc w:val="center"/>
              <w:rPr>
                <w:rFonts w:ascii="Times New Roman" w:hAnsi="Times New Roman" w:cs="Times New Roman"/>
                <w:sz w:val="20"/>
                <w:szCs w:val="20"/>
              </w:rPr>
            </w:pPr>
            <w:r w:rsidRPr="00A97F3F">
              <w:rPr>
                <w:rFonts w:ascii="Times New Roman" w:hAnsi="Times New Roman" w:cs="Times New Roman"/>
                <w:sz w:val="20"/>
                <w:szCs w:val="20"/>
              </w:rPr>
              <w:t>4</w:t>
            </w:r>
          </w:p>
        </w:tc>
        <w:tc>
          <w:tcPr>
            <w:tcW w:w="1350" w:type="dxa"/>
          </w:tcPr>
          <w:p w14:paraId="2FD49ED9" w14:textId="77777777" w:rsidR="006529E9" w:rsidRPr="00A97F3F" w:rsidRDefault="006529E9" w:rsidP="00A97F3F">
            <w:pPr>
              <w:tabs>
                <w:tab w:val="left" w:pos="5760"/>
              </w:tabs>
              <w:jc w:val="center"/>
              <w:rPr>
                <w:rFonts w:ascii="Times New Roman" w:hAnsi="Times New Roman" w:cs="Times New Roman"/>
                <w:sz w:val="20"/>
                <w:szCs w:val="20"/>
              </w:rPr>
            </w:pPr>
            <w:r w:rsidRPr="00A97F3F">
              <w:rPr>
                <w:rFonts w:ascii="Times New Roman" w:hAnsi="Times New Roman" w:cs="Times New Roman"/>
                <w:sz w:val="20"/>
                <w:szCs w:val="20"/>
              </w:rPr>
              <w:t>08/13/09</w:t>
            </w:r>
          </w:p>
        </w:tc>
        <w:tc>
          <w:tcPr>
            <w:tcW w:w="3690" w:type="dxa"/>
          </w:tcPr>
          <w:p w14:paraId="0ADEBD42" w14:textId="77777777" w:rsidR="006529E9" w:rsidRPr="00A97F3F" w:rsidRDefault="006529E9"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M. Cadotte</w:t>
            </w:r>
          </w:p>
        </w:tc>
        <w:tc>
          <w:tcPr>
            <w:tcW w:w="4014" w:type="dxa"/>
          </w:tcPr>
          <w:p w14:paraId="1E0F38F6" w14:textId="77777777" w:rsidR="006529E9" w:rsidRPr="00A97F3F" w:rsidRDefault="00401174" w:rsidP="00A97F3F">
            <w:pPr>
              <w:tabs>
                <w:tab w:val="left" w:pos="5760"/>
              </w:tabs>
              <w:rPr>
                <w:rFonts w:ascii="Times New Roman" w:hAnsi="Times New Roman" w:cs="Times New Roman"/>
                <w:sz w:val="20"/>
                <w:szCs w:val="20"/>
              </w:rPr>
            </w:pPr>
            <w:r w:rsidRPr="00A97F3F">
              <w:rPr>
                <w:rFonts w:ascii="Times New Roman" w:hAnsi="Times New Roman" w:cs="Times New Roman"/>
                <w:sz w:val="20"/>
                <w:szCs w:val="20"/>
              </w:rPr>
              <w:t>Creation of Sec. 4.3</w:t>
            </w:r>
            <w:r w:rsidR="006529E9" w:rsidRPr="00A97F3F">
              <w:rPr>
                <w:rFonts w:ascii="Times New Roman" w:hAnsi="Times New Roman" w:cs="Times New Roman"/>
                <w:sz w:val="20"/>
                <w:szCs w:val="20"/>
              </w:rPr>
              <w:t>.5 MSDS Audit Policy</w:t>
            </w:r>
          </w:p>
          <w:p w14:paraId="490900BF" w14:textId="77777777" w:rsidR="00683CBD" w:rsidRPr="00A97F3F" w:rsidRDefault="00683CBD" w:rsidP="00A97F3F">
            <w:pPr>
              <w:tabs>
                <w:tab w:val="left" w:pos="5760"/>
              </w:tabs>
              <w:rPr>
                <w:rFonts w:ascii="Times New Roman" w:hAnsi="Times New Roman" w:cs="Times New Roman"/>
                <w:sz w:val="20"/>
                <w:szCs w:val="20"/>
              </w:rPr>
            </w:pPr>
          </w:p>
        </w:tc>
      </w:tr>
      <w:tr w:rsidR="006529E9" w14:paraId="01F4B69E" w14:textId="77777777" w:rsidTr="00A97F3F">
        <w:trPr>
          <w:trHeight w:val="404"/>
        </w:trPr>
        <w:tc>
          <w:tcPr>
            <w:tcW w:w="1098" w:type="dxa"/>
          </w:tcPr>
          <w:p w14:paraId="1CA0C997" w14:textId="77777777" w:rsidR="006529E9" w:rsidRPr="00A97F3F" w:rsidRDefault="00DE77B1"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5</w:t>
            </w:r>
          </w:p>
        </w:tc>
        <w:tc>
          <w:tcPr>
            <w:tcW w:w="1350" w:type="dxa"/>
          </w:tcPr>
          <w:p w14:paraId="5F627880" w14:textId="77777777" w:rsidR="006529E9" w:rsidRPr="00A97F3F" w:rsidRDefault="00DE77B1"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10/04/2011</w:t>
            </w:r>
          </w:p>
        </w:tc>
        <w:tc>
          <w:tcPr>
            <w:tcW w:w="3690" w:type="dxa"/>
          </w:tcPr>
          <w:p w14:paraId="5FB5ADC0" w14:textId="77777777" w:rsidR="006529E9" w:rsidRPr="00A97F3F" w:rsidRDefault="00DE77B1" w:rsidP="00A97F3F">
            <w:pPr>
              <w:tabs>
                <w:tab w:val="left" w:pos="5760"/>
              </w:tabs>
              <w:rPr>
                <w:rFonts w:ascii="Times New Roman" w:hAnsi="Times New Roman" w:cs="Times New Roman"/>
                <w:sz w:val="20"/>
                <w:szCs w:val="20"/>
              </w:rPr>
            </w:pPr>
            <w:r>
              <w:rPr>
                <w:rFonts w:ascii="Times New Roman" w:hAnsi="Times New Roman" w:cs="Times New Roman"/>
                <w:sz w:val="20"/>
                <w:szCs w:val="20"/>
              </w:rPr>
              <w:t>M Cadotte</w:t>
            </w:r>
          </w:p>
        </w:tc>
        <w:tc>
          <w:tcPr>
            <w:tcW w:w="4014" w:type="dxa"/>
          </w:tcPr>
          <w:p w14:paraId="57D78420" w14:textId="77777777" w:rsidR="006529E9" w:rsidRPr="00A97F3F" w:rsidRDefault="00DE77B1" w:rsidP="00A97F3F">
            <w:pPr>
              <w:tabs>
                <w:tab w:val="left" w:pos="5760"/>
              </w:tabs>
              <w:rPr>
                <w:rFonts w:ascii="Times New Roman" w:hAnsi="Times New Roman" w:cs="Times New Roman"/>
                <w:sz w:val="20"/>
                <w:szCs w:val="20"/>
              </w:rPr>
            </w:pPr>
            <w:r>
              <w:rPr>
                <w:rFonts w:ascii="Times New Roman" w:hAnsi="Times New Roman" w:cs="Times New Roman"/>
                <w:sz w:val="20"/>
                <w:szCs w:val="20"/>
              </w:rPr>
              <w:t>Reference change:  MSDS to SDS / annual audit of policy.</w:t>
            </w:r>
          </w:p>
        </w:tc>
      </w:tr>
      <w:tr w:rsidR="006529E9" w14:paraId="15381337" w14:textId="77777777" w:rsidTr="00A97F3F">
        <w:trPr>
          <w:trHeight w:val="332"/>
        </w:trPr>
        <w:tc>
          <w:tcPr>
            <w:tcW w:w="1098" w:type="dxa"/>
          </w:tcPr>
          <w:p w14:paraId="240E6999" w14:textId="77777777" w:rsidR="006529E9" w:rsidRPr="00A97F3F" w:rsidRDefault="00AD2AA1"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6</w:t>
            </w:r>
          </w:p>
        </w:tc>
        <w:tc>
          <w:tcPr>
            <w:tcW w:w="1350" w:type="dxa"/>
          </w:tcPr>
          <w:p w14:paraId="57F5CDC7" w14:textId="77777777" w:rsidR="006529E9" w:rsidRPr="00A97F3F" w:rsidRDefault="00AD2AA1"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04/10/2012</w:t>
            </w:r>
          </w:p>
        </w:tc>
        <w:tc>
          <w:tcPr>
            <w:tcW w:w="3690" w:type="dxa"/>
          </w:tcPr>
          <w:p w14:paraId="0BE428CF" w14:textId="77777777" w:rsidR="006529E9" w:rsidRPr="00A97F3F" w:rsidRDefault="00AD2AA1" w:rsidP="00A97F3F">
            <w:pPr>
              <w:tabs>
                <w:tab w:val="left" w:pos="5760"/>
              </w:tabs>
              <w:rPr>
                <w:rFonts w:ascii="Times New Roman" w:hAnsi="Times New Roman" w:cs="Times New Roman"/>
                <w:sz w:val="20"/>
                <w:szCs w:val="20"/>
              </w:rPr>
            </w:pPr>
            <w:r>
              <w:rPr>
                <w:rFonts w:ascii="Times New Roman" w:hAnsi="Times New Roman" w:cs="Times New Roman"/>
                <w:sz w:val="20"/>
                <w:szCs w:val="20"/>
              </w:rPr>
              <w:t>M Cadotte</w:t>
            </w:r>
          </w:p>
        </w:tc>
        <w:tc>
          <w:tcPr>
            <w:tcW w:w="4014" w:type="dxa"/>
          </w:tcPr>
          <w:p w14:paraId="4AFE34B0" w14:textId="77777777" w:rsidR="006529E9" w:rsidRPr="00A97F3F" w:rsidRDefault="00AD2AA1" w:rsidP="00A97F3F">
            <w:pPr>
              <w:tabs>
                <w:tab w:val="left" w:pos="5760"/>
              </w:tabs>
              <w:rPr>
                <w:rFonts w:ascii="Times New Roman" w:hAnsi="Times New Roman" w:cs="Times New Roman"/>
                <w:sz w:val="20"/>
                <w:szCs w:val="20"/>
              </w:rPr>
            </w:pPr>
            <w:r>
              <w:rPr>
                <w:rFonts w:ascii="Times New Roman" w:hAnsi="Times New Roman" w:cs="Times New Roman"/>
                <w:sz w:val="20"/>
                <w:szCs w:val="20"/>
              </w:rPr>
              <w:t>New section inserted as 4.2 – Chemical Disposition</w:t>
            </w:r>
          </w:p>
        </w:tc>
      </w:tr>
      <w:tr w:rsidR="00AD2AA1" w14:paraId="1C1CD06E" w14:textId="77777777" w:rsidTr="00A97F3F">
        <w:trPr>
          <w:trHeight w:val="332"/>
        </w:trPr>
        <w:tc>
          <w:tcPr>
            <w:tcW w:w="1098" w:type="dxa"/>
          </w:tcPr>
          <w:p w14:paraId="2345DF34" w14:textId="77777777" w:rsidR="00AD2AA1" w:rsidRDefault="000567FA"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7</w:t>
            </w:r>
          </w:p>
        </w:tc>
        <w:tc>
          <w:tcPr>
            <w:tcW w:w="1350" w:type="dxa"/>
          </w:tcPr>
          <w:p w14:paraId="4A908689" w14:textId="77777777" w:rsidR="00AD2AA1" w:rsidRDefault="000567FA"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2/7/2014</w:t>
            </w:r>
          </w:p>
        </w:tc>
        <w:tc>
          <w:tcPr>
            <w:tcW w:w="3690" w:type="dxa"/>
          </w:tcPr>
          <w:p w14:paraId="25861BE6" w14:textId="77777777" w:rsidR="00AD2AA1" w:rsidRDefault="000567FA" w:rsidP="00A97F3F">
            <w:pPr>
              <w:tabs>
                <w:tab w:val="left" w:pos="5760"/>
              </w:tabs>
              <w:rPr>
                <w:rFonts w:ascii="Times New Roman" w:hAnsi="Times New Roman" w:cs="Times New Roman"/>
                <w:sz w:val="20"/>
                <w:szCs w:val="20"/>
              </w:rPr>
            </w:pPr>
            <w:r>
              <w:rPr>
                <w:rFonts w:ascii="Times New Roman" w:hAnsi="Times New Roman" w:cs="Times New Roman"/>
                <w:sz w:val="20"/>
                <w:szCs w:val="20"/>
              </w:rPr>
              <w:t>M Cadotte, VP Safety &amp; Quality</w:t>
            </w:r>
          </w:p>
        </w:tc>
        <w:tc>
          <w:tcPr>
            <w:tcW w:w="4014" w:type="dxa"/>
          </w:tcPr>
          <w:p w14:paraId="24E91023" w14:textId="77777777" w:rsidR="00AD2AA1" w:rsidRDefault="000567FA" w:rsidP="00A97F3F">
            <w:pPr>
              <w:tabs>
                <w:tab w:val="left" w:pos="5760"/>
              </w:tabs>
              <w:rPr>
                <w:rFonts w:ascii="Times New Roman" w:hAnsi="Times New Roman" w:cs="Times New Roman"/>
                <w:sz w:val="20"/>
                <w:szCs w:val="20"/>
              </w:rPr>
            </w:pPr>
            <w:r>
              <w:rPr>
                <w:rFonts w:ascii="Times New Roman" w:hAnsi="Times New Roman" w:cs="Times New Roman"/>
                <w:sz w:val="20"/>
                <w:szCs w:val="20"/>
              </w:rPr>
              <w:t>Update to reflect SDS Global Harmonization</w:t>
            </w:r>
          </w:p>
        </w:tc>
      </w:tr>
      <w:tr w:rsidR="0049790A" w14:paraId="2CCB6098" w14:textId="77777777" w:rsidTr="00A97F3F">
        <w:trPr>
          <w:trHeight w:val="332"/>
        </w:trPr>
        <w:tc>
          <w:tcPr>
            <w:tcW w:w="1098" w:type="dxa"/>
          </w:tcPr>
          <w:p w14:paraId="1874CAE7" w14:textId="77777777" w:rsidR="0049790A" w:rsidRDefault="0049790A"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8</w:t>
            </w:r>
          </w:p>
        </w:tc>
        <w:tc>
          <w:tcPr>
            <w:tcW w:w="1350" w:type="dxa"/>
          </w:tcPr>
          <w:p w14:paraId="5398C992" w14:textId="77777777" w:rsidR="0049790A" w:rsidRDefault="0049790A"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04/10/15</w:t>
            </w:r>
          </w:p>
        </w:tc>
        <w:tc>
          <w:tcPr>
            <w:tcW w:w="3690" w:type="dxa"/>
          </w:tcPr>
          <w:p w14:paraId="2779D516" w14:textId="77777777" w:rsidR="0049790A" w:rsidRDefault="0049790A" w:rsidP="00A97F3F">
            <w:pPr>
              <w:tabs>
                <w:tab w:val="left" w:pos="5760"/>
              </w:tabs>
              <w:rPr>
                <w:rFonts w:ascii="Times New Roman" w:hAnsi="Times New Roman" w:cs="Times New Roman"/>
                <w:sz w:val="20"/>
                <w:szCs w:val="20"/>
              </w:rPr>
            </w:pPr>
            <w:r>
              <w:rPr>
                <w:rFonts w:ascii="Times New Roman" w:hAnsi="Times New Roman" w:cs="Times New Roman"/>
                <w:sz w:val="20"/>
                <w:szCs w:val="20"/>
              </w:rPr>
              <w:t>Audit</w:t>
            </w:r>
          </w:p>
        </w:tc>
        <w:tc>
          <w:tcPr>
            <w:tcW w:w="4014" w:type="dxa"/>
          </w:tcPr>
          <w:p w14:paraId="07F067D1" w14:textId="77777777" w:rsidR="0049790A" w:rsidRDefault="0049790A" w:rsidP="003E5C24">
            <w:pPr>
              <w:tabs>
                <w:tab w:val="left" w:pos="5760"/>
              </w:tabs>
              <w:rPr>
                <w:rFonts w:ascii="Times New Roman" w:hAnsi="Times New Roman" w:cs="Times New Roman"/>
                <w:sz w:val="20"/>
                <w:szCs w:val="20"/>
              </w:rPr>
            </w:pPr>
            <w:r>
              <w:rPr>
                <w:rFonts w:ascii="Times New Roman" w:hAnsi="Times New Roman" w:cs="Times New Roman"/>
                <w:sz w:val="20"/>
                <w:szCs w:val="20"/>
              </w:rPr>
              <w:t>Annual Audit</w:t>
            </w:r>
            <w:r w:rsidR="008236A9">
              <w:rPr>
                <w:rFonts w:ascii="Times New Roman" w:hAnsi="Times New Roman" w:cs="Times New Roman"/>
                <w:sz w:val="20"/>
                <w:szCs w:val="20"/>
              </w:rPr>
              <w:t xml:space="preserve">. Changes in naming, responsible party and </w:t>
            </w:r>
            <w:r w:rsidR="003E5C24">
              <w:rPr>
                <w:sz w:val="20"/>
                <w:szCs w:val="20"/>
              </w:rPr>
              <w:t>§</w:t>
            </w:r>
            <w:r w:rsidR="008236A9">
              <w:rPr>
                <w:rFonts w:ascii="Times New Roman" w:hAnsi="Times New Roman" w:cs="Times New Roman"/>
                <w:sz w:val="20"/>
                <w:szCs w:val="20"/>
              </w:rPr>
              <w:t>4.7</w:t>
            </w:r>
            <w:r w:rsidR="003E5C24">
              <w:rPr>
                <w:rFonts w:ascii="Times New Roman" w:hAnsi="Times New Roman" w:cs="Times New Roman"/>
                <w:sz w:val="20"/>
                <w:szCs w:val="20"/>
              </w:rPr>
              <w:t xml:space="preserve"> and addition of </w:t>
            </w:r>
            <w:r w:rsidR="003E5C24">
              <w:rPr>
                <w:sz w:val="20"/>
                <w:szCs w:val="20"/>
              </w:rPr>
              <w:t>§</w:t>
            </w:r>
            <w:r w:rsidR="003E5C24">
              <w:rPr>
                <w:rFonts w:ascii="Times New Roman" w:hAnsi="Times New Roman" w:cs="Times New Roman"/>
                <w:sz w:val="20"/>
                <w:szCs w:val="20"/>
              </w:rPr>
              <w:t>4.11</w:t>
            </w:r>
          </w:p>
        </w:tc>
      </w:tr>
      <w:tr w:rsidR="00CA6C11" w14:paraId="1CF7831B" w14:textId="77777777" w:rsidTr="00A97F3F">
        <w:trPr>
          <w:trHeight w:val="332"/>
        </w:trPr>
        <w:tc>
          <w:tcPr>
            <w:tcW w:w="1098" w:type="dxa"/>
          </w:tcPr>
          <w:p w14:paraId="11456C61" w14:textId="77777777" w:rsidR="00CA6C11" w:rsidRDefault="00CA6C11"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9</w:t>
            </w:r>
          </w:p>
        </w:tc>
        <w:tc>
          <w:tcPr>
            <w:tcW w:w="1350" w:type="dxa"/>
          </w:tcPr>
          <w:p w14:paraId="2F5B91D1" w14:textId="77777777" w:rsidR="00CA6C11" w:rsidRDefault="00CA6C11"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11/30/15</w:t>
            </w:r>
          </w:p>
        </w:tc>
        <w:tc>
          <w:tcPr>
            <w:tcW w:w="3690" w:type="dxa"/>
          </w:tcPr>
          <w:p w14:paraId="66F5CAD3" w14:textId="77777777" w:rsidR="00CA6C11" w:rsidRDefault="00CA6C11" w:rsidP="00A97F3F">
            <w:pPr>
              <w:tabs>
                <w:tab w:val="left" w:pos="5760"/>
              </w:tabs>
              <w:rPr>
                <w:rFonts w:ascii="Times New Roman" w:hAnsi="Times New Roman" w:cs="Times New Roman"/>
                <w:sz w:val="20"/>
                <w:szCs w:val="20"/>
              </w:rPr>
            </w:pPr>
            <w:r>
              <w:rPr>
                <w:rFonts w:ascii="Times New Roman" w:hAnsi="Times New Roman" w:cs="Times New Roman"/>
                <w:sz w:val="20"/>
                <w:szCs w:val="20"/>
              </w:rPr>
              <w:t>M Cadotte</w:t>
            </w:r>
          </w:p>
        </w:tc>
        <w:tc>
          <w:tcPr>
            <w:tcW w:w="4014" w:type="dxa"/>
          </w:tcPr>
          <w:p w14:paraId="7E7300ED" w14:textId="77777777" w:rsidR="00CA6C11" w:rsidRDefault="00CA6C11" w:rsidP="003E5C24">
            <w:pPr>
              <w:tabs>
                <w:tab w:val="left" w:pos="5760"/>
              </w:tabs>
              <w:rPr>
                <w:rFonts w:ascii="Times New Roman" w:hAnsi="Times New Roman" w:cs="Times New Roman"/>
                <w:sz w:val="20"/>
                <w:szCs w:val="20"/>
              </w:rPr>
            </w:pPr>
            <w:r>
              <w:rPr>
                <w:rFonts w:ascii="Times New Roman" w:hAnsi="Times New Roman" w:cs="Times New Roman"/>
                <w:sz w:val="20"/>
                <w:szCs w:val="20"/>
              </w:rPr>
              <w:t>Enhanced spill containment information in section 4.10</w:t>
            </w:r>
          </w:p>
        </w:tc>
      </w:tr>
      <w:tr w:rsidR="00CA2914" w14:paraId="6D3CA527" w14:textId="77777777" w:rsidTr="00A97F3F">
        <w:trPr>
          <w:trHeight w:val="332"/>
        </w:trPr>
        <w:tc>
          <w:tcPr>
            <w:tcW w:w="1098" w:type="dxa"/>
          </w:tcPr>
          <w:p w14:paraId="5E6D51C9" w14:textId="77777777" w:rsidR="00CA2914" w:rsidRDefault="00CA2914"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10</w:t>
            </w:r>
          </w:p>
        </w:tc>
        <w:tc>
          <w:tcPr>
            <w:tcW w:w="1350" w:type="dxa"/>
          </w:tcPr>
          <w:p w14:paraId="22E787F4" w14:textId="77777777" w:rsidR="00CA2914" w:rsidRDefault="00CA2914"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02/10/17</w:t>
            </w:r>
          </w:p>
        </w:tc>
        <w:tc>
          <w:tcPr>
            <w:tcW w:w="3690" w:type="dxa"/>
          </w:tcPr>
          <w:p w14:paraId="27575FC1" w14:textId="77777777" w:rsidR="00CA2914" w:rsidRDefault="00CA2914" w:rsidP="00A97F3F">
            <w:pPr>
              <w:tabs>
                <w:tab w:val="left" w:pos="5760"/>
              </w:tabs>
              <w:rPr>
                <w:rFonts w:ascii="Times New Roman" w:hAnsi="Times New Roman" w:cs="Times New Roman"/>
                <w:sz w:val="20"/>
                <w:szCs w:val="20"/>
              </w:rPr>
            </w:pPr>
            <w:r>
              <w:rPr>
                <w:rFonts w:ascii="Times New Roman" w:hAnsi="Times New Roman" w:cs="Times New Roman"/>
                <w:sz w:val="20"/>
                <w:szCs w:val="20"/>
              </w:rPr>
              <w:t>M Cadotte</w:t>
            </w:r>
          </w:p>
        </w:tc>
        <w:tc>
          <w:tcPr>
            <w:tcW w:w="4014" w:type="dxa"/>
          </w:tcPr>
          <w:p w14:paraId="5E0126DC" w14:textId="77777777" w:rsidR="00B07FD7" w:rsidRDefault="00CA2914" w:rsidP="003E5C24">
            <w:pPr>
              <w:tabs>
                <w:tab w:val="left" w:pos="5760"/>
              </w:tabs>
              <w:rPr>
                <w:rFonts w:ascii="Times New Roman" w:hAnsi="Times New Roman" w:cs="Times New Roman"/>
                <w:sz w:val="20"/>
                <w:szCs w:val="20"/>
              </w:rPr>
            </w:pPr>
            <w:r>
              <w:rPr>
                <w:rFonts w:ascii="Times New Roman" w:hAnsi="Times New Roman" w:cs="Times New Roman"/>
                <w:sz w:val="20"/>
                <w:szCs w:val="20"/>
              </w:rPr>
              <w:t xml:space="preserve">Annual Audit:  added </w:t>
            </w:r>
            <w:r w:rsidR="00F4030B">
              <w:rPr>
                <w:rFonts w:ascii="Times New Roman" w:hAnsi="Times New Roman" w:cs="Times New Roman"/>
                <w:sz w:val="20"/>
                <w:szCs w:val="20"/>
              </w:rPr>
              <w:t xml:space="preserve">4.1.2.1 and changes to 4.4.1 </w:t>
            </w:r>
          </w:p>
        </w:tc>
      </w:tr>
      <w:tr w:rsidR="00B07FD7" w14:paraId="00B48235" w14:textId="77777777" w:rsidTr="00A97F3F">
        <w:trPr>
          <w:trHeight w:val="332"/>
        </w:trPr>
        <w:tc>
          <w:tcPr>
            <w:tcW w:w="1098" w:type="dxa"/>
          </w:tcPr>
          <w:p w14:paraId="4A98C433" w14:textId="77777777" w:rsidR="00B07FD7" w:rsidRDefault="00B07FD7"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11</w:t>
            </w:r>
          </w:p>
        </w:tc>
        <w:tc>
          <w:tcPr>
            <w:tcW w:w="1350" w:type="dxa"/>
          </w:tcPr>
          <w:p w14:paraId="61ABBC41" w14:textId="77777777" w:rsidR="00B07FD7" w:rsidRDefault="00B07FD7"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08/29/2018</w:t>
            </w:r>
          </w:p>
        </w:tc>
        <w:tc>
          <w:tcPr>
            <w:tcW w:w="3690" w:type="dxa"/>
          </w:tcPr>
          <w:p w14:paraId="146200C1" w14:textId="77777777" w:rsidR="00B07FD7" w:rsidRDefault="00B07FD7" w:rsidP="00A97F3F">
            <w:pPr>
              <w:tabs>
                <w:tab w:val="left" w:pos="5760"/>
              </w:tabs>
              <w:rPr>
                <w:rFonts w:ascii="Times New Roman" w:hAnsi="Times New Roman" w:cs="Times New Roman"/>
                <w:sz w:val="20"/>
                <w:szCs w:val="20"/>
              </w:rPr>
            </w:pPr>
            <w:r>
              <w:rPr>
                <w:rFonts w:ascii="Times New Roman" w:hAnsi="Times New Roman" w:cs="Times New Roman"/>
                <w:sz w:val="20"/>
                <w:szCs w:val="20"/>
              </w:rPr>
              <w:t xml:space="preserve">M </w:t>
            </w:r>
            <w:proofErr w:type="spellStart"/>
            <w:r>
              <w:rPr>
                <w:rFonts w:ascii="Times New Roman" w:hAnsi="Times New Roman" w:cs="Times New Roman"/>
                <w:sz w:val="20"/>
                <w:szCs w:val="20"/>
              </w:rPr>
              <w:t>Cadote</w:t>
            </w:r>
            <w:proofErr w:type="spellEnd"/>
          </w:p>
        </w:tc>
        <w:tc>
          <w:tcPr>
            <w:tcW w:w="4014" w:type="dxa"/>
          </w:tcPr>
          <w:p w14:paraId="0EC39840" w14:textId="77777777" w:rsidR="00B07FD7" w:rsidRDefault="00B07FD7" w:rsidP="003E5C24">
            <w:pPr>
              <w:tabs>
                <w:tab w:val="left" w:pos="5760"/>
              </w:tabs>
              <w:rPr>
                <w:rFonts w:ascii="Times New Roman" w:hAnsi="Times New Roman" w:cs="Times New Roman"/>
                <w:sz w:val="20"/>
                <w:szCs w:val="20"/>
              </w:rPr>
            </w:pPr>
            <w:r>
              <w:rPr>
                <w:rFonts w:ascii="Times New Roman" w:hAnsi="Times New Roman" w:cs="Times New Roman"/>
                <w:sz w:val="20"/>
                <w:szCs w:val="20"/>
              </w:rPr>
              <w:t>Review</w:t>
            </w:r>
          </w:p>
        </w:tc>
      </w:tr>
      <w:tr w:rsidR="00595685" w14:paraId="1F7DF5EB" w14:textId="77777777" w:rsidTr="00A97F3F">
        <w:trPr>
          <w:trHeight w:val="332"/>
        </w:trPr>
        <w:tc>
          <w:tcPr>
            <w:tcW w:w="1098" w:type="dxa"/>
          </w:tcPr>
          <w:p w14:paraId="648BC05A" w14:textId="1ECF2AB3" w:rsidR="00595685" w:rsidRDefault="00595685"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12</w:t>
            </w:r>
          </w:p>
        </w:tc>
        <w:tc>
          <w:tcPr>
            <w:tcW w:w="1350" w:type="dxa"/>
          </w:tcPr>
          <w:p w14:paraId="605F1D0D" w14:textId="3E8E9BA3" w:rsidR="00595685" w:rsidRDefault="00595685"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01/22/2020</w:t>
            </w:r>
          </w:p>
        </w:tc>
        <w:tc>
          <w:tcPr>
            <w:tcW w:w="3690" w:type="dxa"/>
          </w:tcPr>
          <w:p w14:paraId="3BEA6C31" w14:textId="59E8007A" w:rsidR="00595685" w:rsidRDefault="00595685" w:rsidP="00A97F3F">
            <w:pPr>
              <w:tabs>
                <w:tab w:val="left" w:pos="5760"/>
              </w:tabs>
              <w:rPr>
                <w:rFonts w:ascii="Times New Roman" w:hAnsi="Times New Roman" w:cs="Times New Roman"/>
                <w:sz w:val="20"/>
                <w:szCs w:val="20"/>
              </w:rPr>
            </w:pPr>
            <w:r>
              <w:rPr>
                <w:rFonts w:ascii="Times New Roman" w:hAnsi="Times New Roman" w:cs="Times New Roman"/>
                <w:sz w:val="20"/>
                <w:szCs w:val="20"/>
              </w:rPr>
              <w:t>M Cadotte</w:t>
            </w:r>
          </w:p>
        </w:tc>
        <w:tc>
          <w:tcPr>
            <w:tcW w:w="4014" w:type="dxa"/>
          </w:tcPr>
          <w:p w14:paraId="2B455FEE" w14:textId="0E2A9191" w:rsidR="00595685" w:rsidRDefault="00595685" w:rsidP="003E5C24">
            <w:pPr>
              <w:tabs>
                <w:tab w:val="left" w:pos="5760"/>
              </w:tabs>
              <w:rPr>
                <w:rFonts w:ascii="Times New Roman" w:hAnsi="Times New Roman" w:cs="Times New Roman"/>
                <w:sz w:val="20"/>
                <w:szCs w:val="20"/>
              </w:rPr>
            </w:pPr>
            <w:r>
              <w:rPr>
                <w:rFonts w:ascii="Times New Roman" w:hAnsi="Times New Roman" w:cs="Times New Roman"/>
                <w:sz w:val="20"/>
                <w:szCs w:val="20"/>
              </w:rPr>
              <w:t>Audit</w:t>
            </w:r>
          </w:p>
        </w:tc>
      </w:tr>
      <w:tr w:rsidR="00F02583" w14:paraId="56167328" w14:textId="77777777" w:rsidTr="00A97F3F">
        <w:trPr>
          <w:trHeight w:val="332"/>
        </w:trPr>
        <w:tc>
          <w:tcPr>
            <w:tcW w:w="1098" w:type="dxa"/>
          </w:tcPr>
          <w:p w14:paraId="796C5B64" w14:textId="36599C5D" w:rsidR="00F02583" w:rsidRDefault="00F02583"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13</w:t>
            </w:r>
          </w:p>
        </w:tc>
        <w:tc>
          <w:tcPr>
            <w:tcW w:w="1350" w:type="dxa"/>
          </w:tcPr>
          <w:p w14:paraId="4CFB095B" w14:textId="14ABA72A" w:rsidR="00F02583" w:rsidRDefault="00F02583" w:rsidP="00A97F3F">
            <w:pPr>
              <w:tabs>
                <w:tab w:val="left" w:pos="5760"/>
              </w:tabs>
              <w:jc w:val="center"/>
              <w:rPr>
                <w:rFonts w:ascii="Times New Roman" w:hAnsi="Times New Roman" w:cs="Times New Roman"/>
                <w:sz w:val="20"/>
                <w:szCs w:val="20"/>
              </w:rPr>
            </w:pPr>
            <w:r>
              <w:rPr>
                <w:rFonts w:ascii="Times New Roman" w:hAnsi="Times New Roman" w:cs="Times New Roman"/>
                <w:sz w:val="20"/>
                <w:szCs w:val="20"/>
              </w:rPr>
              <w:t>8/28/2020</w:t>
            </w:r>
          </w:p>
        </w:tc>
        <w:tc>
          <w:tcPr>
            <w:tcW w:w="3690" w:type="dxa"/>
          </w:tcPr>
          <w:p w14:paraId="55A2D5FA" w14:textId="7F112F1B" w:rsidR="00F02583" w:rsidRDefault="00F02583" w:rsidP="00A97F3F">
            <w:pPr>
              <w:tabs>
                <w:tab w:val="left" w:pos="5760"/>
              </w:tabs>
              <w:rPr>
                <w:rFonts w:ascii="Times New Roman" w:hAnsi="Times New Roman" w:cs="Times New Roman"/>
                <w:sz w:val="20"/>
                <w:szCs w:val="20"/>
              </w:rPr>
            </w:pPr>
            <w:r>
              <w:rPr>
                <w:rFonts w:ascii="Times New Roman" w:hAnsi="Times New Roman" w:cs="Times New Roman"/>
                <w:sz w:val="20"/>
                <w:szCs w:val="20"/>
              </w:rPr>
              <w:t>M Cadotte</w:t>
            </w:r>
          </w:p>
        </w:tc>
        <w:tc>
          <w:tcPr>
            <w:tcW w:w="4014" w:type="dxa"/>
          </w:tcPr>
          <w:p w14:paraId="62F7C391" w14:textId="78F377BA" w:rsidR="00F02583" w:rsidRDefault="00F02583" w:rsidP="003E5C24">
            <w:pPr>
              <w:tabs>
                <w:tab w:val="left" w:pos="5760"/>
              </w:tabs>
              <w:rPr>
                <w:rFonts w:ascii="Times New Roman" w:hAnsi="Times New Roman" w:cs="Times New Roman"/>
                <w:sz w:val="20"/>
                <w:szCs w:val="20"/>
              </w:rPr>
            </w:pPr>
            <w:r>
              <w:rPr>
                <w:rFonts w:ascii="Times New Roman" w:hAnsi="Times New Roman" w:cs="Times New Roman"/>
                <w:sz w:val="20"/>
                <w:szCs w:val="20"/>
              </w:rPr>
              <w:t>Inclusion of PSM – NEW SEC 4.12</w:t>
            </w:r>
          </w:p>
        </w:tc>
      </w:tr>
    </w:tbl>
    <w:p w14:paraId="27F3CC26" w14:textId="77777777" w:rsidR="00597A10" w:rsidRDefault="00597A10" w:rsidP="00E36F73">
      <w:pPr>
        <w:numPr>
          <w:ilvl w:val="0"/>
          <w:numId w:val="1"/>
        </w:numPr>
        <w:sectPr w:rsidR="00597A10" w:rsidSect="00D56DC5">
          <w:headerReference w:type="default" r:id="rId9"/>
          <w:footerReference w:type="default" r:id="rId10"/>
          <w:pgSz w:w="12240" w:h="15840" w:code="1"/>
          <w:pgMar w:top="1152" w:right="1152" w:bottom="1152" w:left="1152" w:header="1080" w:footer="432" w:gutter="0"/>
          <w:cols w:space="720"/>
          <w:docGrid w:linePitch="360"/>
        </w:sectPr>
      </w:pPr>
    </w:p>
    <w:p w14:paraId="4EEB9DAE" w14:textId="77777777" w:rsidR="006529E9" w:rsidRPr="008959F9" w:rsidRDefault="00E36F73" w:rsidP="00E36F73">
      <w:pPr>
        <w:numPr>
          <w:ilvl w:val="0"/>
          <w:numId w:val="1"/>
        </w:numPr>
        <w:rPr>
          <w:b/>
        </w:rPr>
      </w:pPr>
      <w:r w:rsidRPr="008959F9">
        <w:rPr>
          <w:b/>
        </w:rPr>
        <w:lastRenderedPageBreak/>
        <w:t>Purpose</w:t>
      </w:r>
    </w:p>
    <w:p w14:paraId="400CF351" w14:textId="77777777" w:rsidR="00E36F73" w:rsidRDefault="00E36F73" w:rsidP="00E36F73">
      <w:pPr>
        <w:ind w:left="360"/>
      </w:pPr>
      <w:r>
        <w:t xml:space="preserve">To establish a written policy for hazard communication for </w:t>
      </w:r>
      <w:r w:rsidR="00CA2914">
        <w:t xml:space="preserve">GDI </w:t>
      </w:r>
      <w:r w:rsidR="008236A9">
        <w:t>S</w:t>
      </w:r>
      <w:r w:rsidR="00CA2914">
        <w:t>ervices Inc. (GDI or GDI – US)</w:t>
      </w:r>
      <w:r>
        <w:t xml:space="preserve"> that </w:t>
      </w:r>
      <w:proofErr w:type="gramStart"/>
      <w:r>
        <w:t>is in co</w:t>
      </w:r>
      <w:r w:rsidR="008236A9">
        <w:t>mpliance with</w:t>
      </w:r>
      <w:proofErr w:type="gramEnd"/>
      <w:r w:rsidR="008236A9">
        <w:t xml:space="preserve"> OSHA and State OSHA departments.</w:t>
      </w:r>
    </w:p>
    <w:p w14:paraId="4BDF3727" w14:textId="77777777" w:rsidR="00E36F73" w:rsidRDefault="00E36F73" w:rsidP="00E36F73"/>
    <w:p w14:paraId="4D53AD02" w14:textId="77777777" w:rsidR="00E36F73" w:rsidRPr="008959F9" w:rsidRDefault="00E36F73" w:rsidP="00E36F73">
      <w:pPr>
        <w:numPr>
          <w:ilvl w:val="0"/>
          <w:numId w:val="1"/>
        </w:numPr>
        <w:rPr>
          <w:b/>
        </w:rPr>
      </w:pPr>
      <w:r w:rsidRPr="008959F9">
        <w:rPr>
          <w:b/>
        </w:rPr>
        <w:t>Scope</w:t>
      </w:r>
    </w:p>
    <w:p w14:paraId="1E20F767" w14:textId="77777777" w:rsidR="00E36F73" w:rsidRDefault="00E36F73" w:rsidP="00E36F73">
      <w:pPr>
        <w:ind w:left="360"/>
      </w:pPr>
      <w:r>
        <w:t xml:space="preserve">The following hazard communication policy is established for ALL </w:t>
      </w:r>
      <w:r w:rsidR="008236A9">
        <w:t>GDI - US</w:t>
      </w:r>
      <w:r>
        <w:t>’</w:t>
      </w:r>
      <w:r w:rsidR="0051004C">
        <w:t>s</w:t>
      </w:r>
      <w:r>
        <w:t xml:space="preserve"> employees and will be made available to all employees through:</w:t>
      </w:r>
    </w:p>
    <w:p w14:paraId="71BFDD71" w14:textId="77777777" w:rsidR="007D3073" w:rsidRDefault="007D3073" w:rsidP="007D3073">
      <w:pPr>
        <w:ind w:left="720"/>
      </w:pPr>
    </w:p>
    <w:p w14:paraId="689F2CA3" w14:textId="77777777" w:rsidR="00E36F73" w:rsidRDefault="00E36F73" w:rsidP="00E36F73">
      <w:pPr>
        <w:numPr>
          <w:ilvl w:val="0"/>
          <w:numId w:val="2"/>
        </w:numPr>
      </w:pPr>
      <w:r>
        <w:t>HR Department</w:t>
      </w:r>
    </w:p>
    <w:p w14:paraId="3D805B55" w14:textId="77777777" w:rsidR="00E36F73" w:rsidRDefault="00E36F73" w:rsidP="00E36F73">
      <w:pPr>
        <w:numPr>
          <w:ilvl w:val="0"/>
          <w:numId w:val="2"/>
        </w:numPr>
      </w:pPr>
      <w:r>
        <w:t>Jobsite Postings</w:t>
      </w:r>
    </w:p>
    <w:p w14:paraId="003C97DC" w14:textId="77777777" w:rsidR="00E36F73" w:rsidRDefault="00E36F73" w:rsidP="00E36F73">
      <w:pPr>
        <w:numPr>
          <w:ilvl w:val="0"/>
          <w:numId w:val="2"/>
        </w:numPr>
      </w:pPr>
      <w:r>
        <w:t>Safety Department</w:t>
      </w:r>
    </w:p>
    <w:p w14:paraId="2F9A8D71" w14:textId="77777777" w:rsidR="00E36F73" w:rsidRDefault="00E36F73" w:rsidP="00E36F73"/>
    <w:p w14:paraId="5730FC92" w14:textId="77777777" w:rsidR="00E36F73" w:rsidRPr="008959F9" w:rsidRDefault="00E36F73" w:rsidP="00E36F73">
      <w:pPr>
        <w:numPr>
          <w:ilvl w:val="0"/>
          <w:numId w:val="1"/>
        </w:numPr>
        <w:rPr>
          <w:b/>
        </w:rPr>
      </w:pPr>
      <w:r w:rsidRPr="008959F9">
        <w:rPr>
          <w:b/>
        </w:rPr>
        <w:t>Responsibility</w:t>
      </w:r>
    </w:p>
    <w:p w14:paraId="0D565112" w14:textId="77777777" w:rsidR="00E36F73" w:rsidRDefault="00CA2914" w:rsidP="0051188A">
      <w:pPr>
        <w:numPr>
          <w:ilvl w:val="1"/>
          <w:numId w:val="1"/>
        </w:numPr>
        <w:tabs>
          <w:tab w:val="clear" w:pos="792"/>
          <w:tab w:val="num" w:pos="900"/>
        </w:tabs>
        <w:ind w:left="900" w:hanging="540"/>
      </w:pPr>
      <w:r>
        <w:t>Vice President</w:t>
      </w:r>
      <w:r w:rsidR="008236A9">
        <w:t xml:space="preserve"> of Safety</w:t>
      </w:r>
      <w:r w:rsidR="0051188A">
        <w:t xml:space="preserve"> - </w:t>
      </w:r>
      <w:r w:rsidR="00E36F73">
        <w:t>Has overall authority an</w:t>
      </w:r>
      <w:r w:rsidR="008959F9">
        <w:t>d responsibility for implement</w:t>
      </w:r>
      <w:r w:rsidR="00E36F73">
        <w:t xml:space="preserve">ing and monitoring safety programs at </w:t>
      </w:r>
      <w:r>
        <w:t>GDI Services Inc.</w:t>
      </w:r>
    </w:p>
    <w:p w14:paraId="4370E5D2" w14:textId="77777777" w:rsidR="008959F9" w:rsidRDefault="008959F9" w:rsidP="0051188A">
      <w:pPr>
        <w:numPr>
          <w:ilvl w:val="1"/>
          <w:numId w:val="1"/>
        </w:numPr>
        <w:tabs>
          <w:tab w:val="clear" w:pos="792"/>
          <w:tab w:val="num" w:pos="900"/>
        </w:tabs>
        <w:ind w:left="900" w:hanging="540"/>
      </w:pPr>
      <w:r>
        <w:t>Safety Committee</w:t>
      </w:r>
      <w:r w:rsidR="0051188A">
        <w:t xml:space="preserve"> - </w:t>
      </w:r>
      <w:r>
        <w:t xml:space="preserve">Is responsible for monitoring the safety program, developing training schedules, researching new safety </w:t>
      </w:r>
      <w:proofErr w:type="gramStart"/>
      <w:r>
        <w:t>products</w:t>
      </w:r>
      <w:proofErr w:type="gramEnd"/>
      <w:r>
        <w:t xml:space="preserve"> and coordinating all safety related efforts within the company.</w:t>
      </w:r>
    </w:p>
    <w:p w14:paraId="5D2D91AA" w14:textId="77777777" w:rsidR="008959F9" w:rsidRDefault="008959F9" w:rsidP="0051188A">
      <w:pPr>
        <w:numPr>
          <w:ilvl w:val="1"/>
          <w:numId w:val="1"/>
        </w:numPr>
        <w:tabs>
          <w:tab w:val="clear" w:pos="792"/>
          <w:tab w:val="num" w:pos="900"/>
        </w:tabs>
        <w:ind w:left="900" w:hanging="540"/>
      </w:pPr>
      <w:r>
        <w:t>Employees</w:t>
      </w:r>
      <w:r w:rsidR="0051188A">
        <w:t xml:space="preserve"> - </w:t>
      </w:r>
      <w:proofErr w:type="gramStart"/>
      <w:r>
        <w:t>Each and every</w:t>
      </w:r>
      <w:proofErr w:type="gramEnd"/>
      <w:r>
        <w:t xml:space="preserve"> employee at </w:t>
      </w:r>
      <w:r w:rsidR="008236A9">
        <w:t>GDI - US</w:t>
      </w:r>
      <w:r>
        <w:t xml:space="preserve"> has a primary responsibility to comply with all safety policies, guidelines and laws.  Furthermore, every employee must report any unsafe condition and/or incident to their supervisor immediately.</w:t>
      </w:r>
    </w:p>
    <w:p w14:paraId="383A0192" w14:textId="77777777" w:rsidR="008959F9" w:rsidRDefault="008959F9" w:rsidP="008959F9">
      <w:pPr>
        <w:ind w:left="810"/>
      </w:pPr>
    </w:p>
    <w:p w14:paraId="245B1D93" w14:textId="77777777" w:rsidR="008959F9" w:rsidRDefault="008959F9" w:rsidP="008959F9">
      <w:pPr>
        <w:numPr>
          <w:ilvl w:val="0"/>
          <w:numId w:val="1"/>
        </w:numPr>
        <w:rPr>
          <w:b/>
        </w:rPr>
      </w:pPr>
      <w:r w:rsidRPr="002F1DCB">
        <w:rPr>
          <w:b/>
        </w:rPr>
        <w:t>Procedure</w:t>
      </w:r>
    </w:p>
    <w:p w14:paraId="568A5A95" w14:textId="77777777" w:rsidR="008959F9" w:rsidRDefault="008959F9" w:rsidP="004F4D87">
      <w:pPr>
        <w:numPr>
          <w:ilvl w:val="1"/>
          <w:numId w:val="1"/>
        </w:numPr>
        <w:tabs>
          <w:tab w:val="clear" w:pos="792"/>
          <w:tab w:val="num" w:pos="900"/>
        </w:tabs>
        <w:ind w:left="900" w:hanging="540"/>
      </w:pPr>
      <w:r>
        <w:t>Hazard Determination</w:t>
      </w:r>
    </w:p>
    <w:p w14:paraId="14C1D93A" w14:textId="77777777" w:rsidR="008959F9" w:rsidRDefault="0045208A" w:rsidP="004F4D87">
      <w:pPr>
        <w:numPr>
          <w:ilvl w:val="2"/>
          <w:numId w:val="1"/>
        </w:numPr>
        <w:tabs>
          <w:tab w:val="clear" w:pos="1440"/>
          <w:tab w:val="num" w:pos="1620"/>
        </w:tabs>
        <w:ind w:left="1620" w:hanging="720"/>
      </w:pPr>
      <w:r>
        <w:t>GDI</w:t>
      </w:r>
      <w:r w:rsidR="00DE77B1">
        <w:t xml:space="preserve"> will rely on</w:t>
      </w:r>
      <w:r w:rsidR="00CA2914">
        <w:t xml:space="preserve"> Safety Data Sheets </w:t>
      </w:r>
      <w:r w:rsidR="008959F9">
        <w:t>obtained from our product suppliers to meet hazard determination requirements.</w:t>
      </w:r>
    </w:p>
    <w:p w14:paraId="6BB74A67" w14:textId="77777777" w:rsidR="008959F9" w:rsidRDefault="002F1DCB" w:rsidP="004F4D87">
      <w:pPr>
        <w:numPr>
          <w:ilvl w:val="2"/>
          <w:numId w:val="1"/>
        </w:numPr>
        <w:tabs>
          <w:tab w:val="clear" w:pos="1440"/>
          <w:tab w:val="num" w:pos="1620"/>
        </w:tabs>
        <w:ind w:left="1620" w:hanging="720"/>
      </w:pPr>
      <w:r>
        <w:t>SDS will be placed on each jobsite and made available to employees.</w:t>
      </w:r>
    </w:p>
    <w:p w14:paraId="71AE446E" w14:textId="77777777" w:rsidR="00CA2914" w:rsidRDefault="00CA2914" w:rsidP="00CA2914">
      <w:pPr>
        <w:numPr>
          <w:ilvl w:val="3"/>
          <w:numId w:val="1"/>
        </w:numPr>
        <w:ind w:left="3510" w:hanging="1080"/>
      </w:pPr>
      <w:r>
        <w:t xml:space="preserve">SDS books shall be limited to those chemicals at the job site or are reasonably expected to be at the site periodically. </w:t>
      </w:r>
    </w:p>
    <w:p w14:paraId="45842945" w14:textId="77777777" w:rsidR="002F1DCB" w:rsidRDefault="002F1DCB" w:rsidP="004F4D87">
      <w:pPr>
        <w:numPr>
          <w:ilvl w:val="2"/>
          <w:numId w:val="1"/>
        </w:numPr>
        <w:tabs>
          <w:tab w:val="clear" w:pos="1440"/>
          <w:tab w:val="num" w:pos="1620"/>
        </w:tabs>
        <w:ind w:left="1620" w:hanging="720"/>
      </w:pPr>
      <w:r>
        <w:t>Employees will not bring non-authorized products to the jobsite nor will an employee mix various products not intended to be mix/without authorization.</w:t>
      </w:r>
    </w:p>
    <w:p w14:paraId="7A3018E6" w14:textId="77777777" w:rsidR="00AD2AA1" w:rsidRDefault="00AD2AA1" w:rsidP="00AD2AA1">
      <w:pPr>
        <w:numPr>
          <w:ilvl w:val="1"/>
          <w:numId w:val="1"/>
        </w:numPr>
      </w:pPr>
      <w:r>
        <w:t>Disposition of Chemical</w:t>
      </w:r>
    </w:p>
    <w:p w14:paraId="223831C8" w14:textId="77777777" w:rsidR="00AD2AA1" w:rsidRDefault="008236A9" w:rsidP="00AD2AA1">
      <w:pPr>
        <w:numPr>
          <w:ilvl w:val="2"/>
          <w:numId w:val="1"/>
        </w:numPr>
        <w:ind w:left="1620" w:hanging="720"/>
      </w:pPr>
      <w:r>
        <w:t>GDI - US</w:t>
      </w:r>
      <w:r w:rsidR="00AD2AA1">
        <w:t xml:space="preserve"> shall follow all local, state and federal regulations and law </w:t>
      </w:r>
      <w:proofErr w:type="gramStart"/>
      <w:r w:rsidR="00AD2AA1">
        <w:t>in regards to</w:t>
      </w:r>
      <w:proofErr w:type="gramEnd"/>
      <w:r w:rsidR="00AD2AA1">
        <w:t xml:space="preserve"> the disposition of chemical (used, mixed or concentrated).</w:t>
      </w:r>
    </w:p>
    <w:p w14:paraId="60DA93CE" w14:textId="77777777" w:rsidR="00AD2AA1" w:rsidRDefault="00AD2AA1" w:rsidP="00AD2AA1">
      <w:pPr>
        <w:numPr>
          <w:ilvl w:val="2"/>
          <w:numId w:val="1"/>
        </w:numPr>
        <w:ind w:left="1620" w:hanging="720"/>
      </w:pPr>
      <w:r>
        <w:t>Chemical requiring disposal shall be (unless required by law to be disposed of in a specific manner different from 4.2.2) done in sanitary drains such as custodial sink / drain or commodes.</w:t>
      </w:r>
    </w:p>
    <w:p w14:paraId="3C6530FC" w14:textId="77777777" w:rsidR="00AD2AA1" w:rsidRDefault="00AD2AA1" w:rsidP="00AD2AA1">
      <w:pPr>
        <w:numPr>
          <w:ilvl w:val="2"/>
          <w:numId w:val="1"/>
        </w:numPr>
        <w:ind w:left="1620" w:hanging="720"/>
      </w:pPr>
      <w:r>
        <w:t>No chemical, solution with chemical or water containing soils from cleaning shall be disposed on ground surfaces, exterior paved surfaces or any type of storm drain or other drain that bypasses sanitary sewer systems.</w:t>
      </w:r>
    </w:p>
    <w:p w14:paraId="111503A6" w14:textId="77777777" w:rsidR="00AD2AA1" w:rsidRDefault="00AD2AA1" w:rsidP="00AD2AA1">
      <w:pPr>
        <w:numPr>
          <w:ilvl w:val="2"/>
          <w:numId w:val="1"/>
        </w:numPr>
        <w:ind w:left="1620" w:hanging="720"/>
      </w:pPr>
      <w:r>
        <w:t>When disposing of chemical employees shall maintain standard PPE for chemical handling to include as a minimum hand protection and eye protection.</w:t>
      </w:r>
    </w:p>
    <w:p w14:paraId="6E39B172" w14:textId="77777777" w:rsidR="00AD2AA1" w:rsidRDefault="00AD2AA1" w:rsidP="00AD2AA1">
      <w:pPr>
        <w:ind w:left="1620"/>
      </w:pPr>
    </w:p>
    <w:p w14:paraId="365960D2" w14:textId="77777777" w:rsidR="00AD2AA1" w:rsidRDefault="00AD2AA1" w:rsidP="00AD2AA1">
      <w:pPr>
        <w:ind w:left="1620"/>
      </w:pPr>
    </w:p>
    <w:p w14:paraId="1DE41C40" w14:textId="77777777" w:rsidR="002F1DCB" w:rsidRDefault="002F1DCB" w:rsidP="002F1DCB"/>
    <w:p w14:paraId="531C936C" w14:textId="77777777" w:rsidR="002F1DCB" w:rsidRDefault="002F1DCB" w:rsidP="002F1DCB">
      <w:pPr>
        <w:numPr>
          <w:ilvl w:val="1"/>
          <w:numId w:val="1"/>
        </w:numPr>
        <w:tabs>
          <w:tab w:val="clear" w:pos="792"/>
          <w:tab w:val="num" w:pos="900"/>
        </w:tabs>
        <w:ind w:left="900" w:hanging="540"/>
      </w:pPr>
      <w:r>
        <w:t>Labeling</w:t>
      </w:r>
    </w:p>
    <w:p w14:paraId="0A507DB7" w14:textId="77777777" w:rsidR="002F1DCB" w:rsidRDefault="00F35C3F" w:rsidP="004F4D87">
      <w:pPr>
        <w:numPr>
          <w:ilvl w:val="2"/>
          <w:numId w:val="1"/>
        </w:numPr>
        <w:tabs>
          <w:tab w:val="clear" w:pos="1440"/>
          <w:tab w:val="num" w:pos="1620"/>
        </w:tabs>
        <w:ind w:left="1620" w:hanging="720"/>
      </w:pPr>
      <w:r>
        <w:t>T</w:t>
      </w:r>
      <w:r w:rsidR="002F1DCB">
        <w:t>he site coordinator or area coordinator will be responsible for seeing that all containers entering the jobsite are properly labeled.</w:t>
      </w:r>
    </w:p>
    <w:p w14:paraId="4CF38309" w14:textId="77777777" w:rsidR="002F1DCB" w:rsidRDefault="002F1DCB" w:rsidP="004F4D87">
      <w:pPr>
        <w:numPr>
          <w:ilvl w:val="2"/>
          <w:numId w:val="1"/>
        </w:numPr>
        <w:tabs>
          <w:tab w:val="clear" w:pos="1440"/>
          <w:tab w:val="num" w:pos="1620"/>
        </w:tabs>
        <w:ind w:left="1620" w:hanging="720"/>
      </w:pPr>
      <w:r>
        <w:t xml:space="preserve">Each employee is also responsible for ensuring that all portable containers used in their jobsite are </w:t>
      </w:r>
      <w:r w:rsidR="0051188A">
        <w:t>labeled</w:t>
      </w:r>
      <w:r>
        <w:t xml:space="preserve"> with the appropriate identity and hazard warnings and placed in authorized/approved containers or dispensers.  Failure to label and/or report missing labels on product(s) will result in disciplinary action(s).</w:t>
      </w:r>
    </w:p>
    <w:p w14:paraId="34F6DAE5" w14:textId="77777777" w:rsidR="002F1DCB" w:rsidRDefault="007B338A" w:rsidP="004F4D87">
      <w:pPr>
        <w:numPr>
          <w:ilvl w:val="2"/>
          <w:numId w:val="1"/>
        </w:numPr>
        <w:tabs>
          <w:tab w:val="clear" w:pos="1440"/>
          <w:tab w:val="num" w:pos="1620"/>
        </w:tabs>
        <w:ind w:left="1620" w:hanging="720"/>
      </w:pPr>
      <w:r>
        <w:t>All labels shall be checked for:</w:t>
      </w:r>
    </w:p>
    <w:p w14:paraId="7D3848DF" w14:textId="77777777" w:rsidR="007B338A" w:rsidRDefault="00F35C3F" w:rsidP="004F4D87">
      <w:pPr>
        <w:numPr>
          <w:ilvl w:val="3"/>
          <w:numId w:val="1"/>
        </w:numPr>
        <w:tabs>
          <w:tab w:val="num" w:pos="2520"/>
        </w:tabs>
        <w:ind w:left="2520" w:hanging="900"/>
      </w:pPr>
      <w:r>
        <w:t>Identity of material</w:t>
      </w:r>
    </w:p>
    <w:p w14:paraId="7350905D" w14:textId="77777777" w:rsidR="00F35C3F" w:rsidRDefault="00F35C3F" w:rsidP="004F4D87">
      <w:pPr>
        <w:numPr>
          <w:ilvl w:val="3"/>
          <w:numId w:val="1"/>
        </w:numPr>
        <w:tabs>
          <w:tab w:val="num" w:pos="2520"/>
        </w:tabs>
        <w:ind w:left="2520" w:hanging="900"/>
      </w:pPr>
      <w:r>
        <w:t>Appropriate hazard warning for the material when appropriate</w:t>
      </w:r>
    </w:p>
    <w:p w14:paraId="74BF3BA4" w14:textId="77777777" w:rsidR="00F35C3F" w:rsidRDefault="00F35C3F" w:rsidP="00F35C3F"/>
    <w:p w14:paraId="675FE628" w14:textId="77777777" w:rsidR="00F35C3F" w:rsidRDefault="00DE77B1" w:rsidP="007B7944">
      <w:pPr>
        <w:keepNext/>
        <w:keepLines/>
        <w:numPr>
          <w:ilvl w:val="1"/>
          <w:numId w:val="1"/>
        </w:numPr>
        <w:tabs>
          <w:tab w:val="clear" w:pos="792"/>
          <w:tab w:val="num" w:pos="900"/>
        </w:tabs>
        <w:ind w:left="900" w:hanging="540"/>
      </w:pPr>
      <w:r>
        <w:t>Safety Data Sheets (</w:t>
      </w:r>
      <w:r w:rsidR="00F35C3F">
        <w:t>SDS)</w:t>
      </w:r>
    </w:p>
    <w:p w14:paraId="650D75CE" w14:textId="77777777" w:rsidR="00F35C3F" w:rsidRDefault="00F35C3F" w:rsidP="007B7944">
      <w:pPr>
        <w:keepNext/>
        <w:keepLines/>
        <w:numPr>
          <w:ilvl w:val="2"/>
          <w:numId w:val="1"/>
        </w:numPr>
        <w:tabs>
          <w:tab w:val="clear" w:pos="1440"/>
          <w:tab w:val="num" w:pos="1620"/>
        </w:tabs>
        <w:ind w:left="1620" w:hanging="720"/>
      </w:pPr>
      <w:r>
        <w:t>The Purchasing Department will be responsible for comp</w:t>
      </w:r>
      <w:r w:rsidR="00DE77B1">
        <w:t xml:space="preserve">iling and maintaining a master </w:t>
      </w:r>
      <w:r>
        <w:t xml:space="preserve">SDS file.  The file will be kept at </w:t>
      </w:r>
      <w:r w:rsidR="00CA2914">
        <w:t xml:space="preserve">primary regional office (MI, </w:t>
      </w:r>
      <w:proofErr w:type="gramStart"/>
      <w:r w:rsidR="00CA2914">
        <w:t>PA</w:t>
      </w:r>
      <w:proofErr w:type="gramEnd"/>
      <w:r w:rsidR="00CA2914">
        <w:t xml:space="preserve"> or IL)</w:t>
      </w:r>
      <w:r>
        <w:t xml:space="preserve"> in the Purchasing Department.</w:t>
      </w:r>
    </w:p>
    <w:p w14:paraId="506D418B" w14:textId="77777777" w:rsidR="00F35C3F" w:rsidRDefault="00DE77B1" w:rsidP="004F4D87">
      <w:pPr>
        <w:numPr>
          <w:ilvl w:val="2"/>
          <w:numId w:val="1"/>
        </w:numPr>
        <w:tabs>
          <w:tab w:val="clear" w:pos="1440"/>
          <w:tab w:val="num" w:pos="1620"/>
        </w:tabs>
        <w:ind w:left="1620" w:hanging="720"/>
      </w:pPr>
      <w:r>
        <w:t xml:space="preserve">Each jobsite will have its own </w:t>
      </w:r>
      <w:r w:rsidR="00F35C3F">
        <w:t xml:space="preserve">SDS </w:t>
      </w:r>
      <w:r w:rsidR="001C3C29">
        <w:t xml:space="preserve">book </w:t>
      </w:r>
      <w:r>
        <w:t xml:space="preserve">available to employees.  </w:t>
      </w:r>
      <w:r w:rsidR="00F35C3F">
        <w:t>SDS will be available for review to all employees during each work shift.  Copies will be available upon request to an employee’s imm</w:t>
      </w:r>
      <w:r w:rsidR="00CA2914">
        <w:t>ediate supervisor or the Vice President</w:t>
      </w:r>
      <w:r w:rsidR="00F35C3F">
        <w:t xml:space="preserve"> of </w:t>
      </w:r>
      <w:r w:rsidR="00CA2914">
        <w:t>S</w:t>
      </w:r>
      <w:r w:rsidR="00F35C3F">
        <w:t>afety.</w:t>
      </w:r>
    </w:p>
    <w:p w14:paraId="0A7845F2" w14:textId="77777777" w:rsidR="00186715" w:rsidRDefault="00186715" w:rsidP="004F4D87">
      <w:pPr>
        <w:numPr>
          <w:ilvl w:val="2"/>
          <w:numId w:val="1"/>
        </w:numPr>
        <w:tabs>
          <w:tab w:val="clear" w:pos="1440"/>
          <w:tab w:val="num" w:pos="1620"/>
        </w:tabs>
        <w:ind w:left="1620" w:hanging="720"/>
      </w:pPr>
      <w:r>
        <w:t>SDS Books at the job site level shall be unique to the chemicals utilized at the specific job site. Under no circumstances shall a general ‘catch-all’ SDS book be placed at the job site as it primary SDS manual.</w:t>
      </w:r>
    </w:p>
    <w:p w14:paraId="431FFD3A" w14:textId="77777777" w:rsidR="00F35C3F" w:rsidRDefault="00F35C3F" w:rsidP="004F4D87">
      <w:pPr>
        <w:numPr>
          <w:ilvl w:val="2"/>
          <w:numId w:val="1"/>
        </w:numPr>
        <w:tabs>
          <w:tab w:val="clear" w:pos="1440"/>
          <w:tab w:val="num" w:pos="1620"/>
        </w:tabs>
        <w:ind w:left="1620" w:hanging="720"/>
      </w:pPr>
      <w:r>
        <w:t>SDS notification/information posters will be posted on the jobsite directing emplo</w:t>
      </w:r>
      <w:r w:rsidR="00DE77B1">
        <w:t xml:space="preserve">yees to the location where the </w:t>
      </w:r>
      <w:r>
        <w:t>SDS book is located for that location.</w:t>
      </w:r>
    </w:p>
    <w:p w14:paraId="3D426945" w14:textId="77777777" w:rsidR="00F35C3F" w:rsidRDefault="00DE77B1" w:rsidP="004F4D87">
      <w:pPr>
        <w:numPr>
          <w:ilvl w:val="2"/>
          <w:numId w:val="1"/>
        </w:numPr>
        <w:tabs>
          <w:tab w:val="clear" w:pos="1440"/>
          <w:tab w:val="num" w:pos="1620"/>
        </w:tabs>
        <w:ind w:left="1620" w:hanging="720"/>
      </w:pPr>
      <w:r>
        <w:t xml:space="preserve">If required </w:t>
      </w:r>
      <w:r w:rsidR="00F35C3F">
        <w:t>SDS is not received, the Purchasing Department shall notify the appropriate vendor for compliance.  Failure of a vendor to comply after two (2) requests w</w:t>
      </w:r>
      <w:r w:rsidR="0051004C">
        <w:t xml:space="preserve">ill result in notification to (Local or Federal) </w:t>
      </w:r>
      <w:r w:rsidR="00F35C3F">
        <w:t>OSHA’s Occupational Health Division or General Industry Safety Division for assistance.</w:t>
      </w:r>
    </w:p>
    <w:p w14:paraId="37CD55AE" w14:textId="77777777" w:rsidR="00F35C3F" w:rsidRDefault="00F35C3F" w:rsidP="004F4D87">
      <w:pPr>
        <w:numPr>
          <w:ilvl w:val="2"/>
          <w:numId w:val="1"/>
        </w:numPr>
        <w:tabs>
          <w:tab w:val="clear" w:pos="1440"/>
          <w:tab w:val="num" w:pos="1620"/>
        </w:tabs>
        <w:ind w:left="1620" w:hanging="720"/>
      </w:pPr>
      <w:r>
        <w:t xml:space="preserve">Auditing – annually </w:t>
      </w:r>
      <w:r w:rsidR="00DE77B1">
        <w:t xml:space="preserve">each jobsite shall audit their </w:t>
      </w:r>
      <w:r>
        <w:t>SDS</w:t>
      </w:r>
      <w:r w:rsidR="00495DD0">
        <w:t xml:space="preserve"> </w:t>
      </w:r>
      <w:r w:rsidR="001C3C29">
        <w:t xml:space="preserve">book </w:t>
      </w:r>
      <w:r w:rsidR="00DE77B1">
        <w:t xml:space="preserve">and verify that the </w:t>
      </w:r>
      <w:r w:rsidR="00495DD0">
        <w:t xml:space="preserve">SDS on file are the most recent revision.  A revision log should be kept with the SDS </w:t>
      </w:r>
      <w:r w:rsidR="001C3C29">
        <w:t xml:space="preserve">book </w:t>
      </w:r>
      <w:r w:rsidR="00495DD0">
        <w:t>as an audit trail for verification of this policy.</w:t>
      </w:r>
    </w:p>
    <w:p w14:paraId="5B5CD757" w14:textId="77777777" w:rsidR="00CA25ED" w:rsidRDefault="00CA25ED" w:rsidP="00CA25ED">
      <w:pPr>
        <w:ind w:left="900"/>
      </w:pPr>
    </w:p>
    <w:p w14:paraId="13BE0A5C" w14:textId="77777777" w:rsidR="00495DD0" w:rsidRDefault="00495DD0" w:rsidP="00495DD0">
      <w:pPr>
        <w:numPr>
          <w:ilvl w:val="1"/>
          <w:numId w:val="1"/>
        </w:numPr>
        <w:tabs>
          <w:tab w:val="clear" w:pos="792"/>
          <w:tab w:val="num" w:pos="900"/>
        </w:tabs>
        <w:ind w:left="900" w:hanging="540"/>
      </w:pPr>
      <w:r>
        <w:t>Training</w:t>
      </w:r>
    </w:p>
    <w:p w14:paraId="7CA03885" w14:textId="77777777" w:rsidR="00495DD0" w:rsidRDefault="00495DD0" w:rsidP="004F4D87">
      <w:pPr>
        <w:numPr>
          <w:ilvl w:val="2"/>
          <w:numId w:val="1"/>
        </w:numPr>
        <w:tabs>
          <w:tab w:val="clear" w:pos="1440"/>
          <w:tab w:val="num" w:pos="1620"/>
        </w:tabs>
        <w:ind w:left="1620" w:hanging="720"/>
      </w:pPr>
      <w:r>
        <w:t>The HR Department shall conduct the following safety related training prior to an employee entering the jobsite:</w:t>
      </w:r>
    </w:p>
    <w:p w14:paraId="29A54300" w14:textId="77777777" w:rsidR="00495DD0" w:rsidRDefault="00495DD0" w:rsidP="004F4D87">
      <w:pPr>
        <w:numPr>
          <w:ilvl w:val="0"/>
          <w:numId w:val="4"/>
        </w:numPr>
        <w:tabs>
          <w:tab w:val="clear" w:pos="2232"/>
        </w:tabs>
        <w:ind w:left="1980" w:hanging="360"/>
      </w:pPr>
      <w:r>
        <w:t>Blood borne pathogen</w:t>
      </w:r>
    </w:p>
    <w:p w14:paraId="44081411" w14:textId="77777777" w:rsidR="00495DD0" w:rsidRDefault="00495DD0" w:rsidP="004F4D87">
      <w:pPr>
        <w:numPr>
          <w:ilvl w:val="0"/>
          <w:numId w:val="4"/>
        </w:numPr>
        <w:tabs>
          <w:tab w:val="clear" w:pos="2232"/>
        </w:tabs>
        <w:ind w:left="1980" w:hanging="360"/>
      </w:pPr>
      <w:r>
        <w:t>SDS</w:t>
      </w:r>
      <w:r w:rsidR="00186715">
        <w:t xml:space="preserve"> policy</w:t>
      </w:r>
    </w:p>
    <w:p w14:paraId="04F6AB71" w14:textId="77777777" w:rsidR="00495DD0" w:rsidRDefault="00495DD0" w:rsidP="004F4D87">
      <w:pPr>
        <w:numPr>
          <w:ilvl w:val="0"/>
          <w:numId w:val="4"/>
        </w:numPr>
        <w:tabs>
          <w:tab w:val="clear" w:pos="2232"/>
        </w:tabs>
        <w:ind w:left="1980" w:hanging="360"/>
      </w:pPr>
      <w:r>
        <w:t>Review of hazard communication/safety policies</w:t>
      </w:r>
    </w:p>
    <w:p w14:paraId="061BCAAC" w14:textId="77777777" w:rsidR="00495DD0" w:rsidRDefault="00495DD0" w:rsidP="004F4D87">
      <w:pPr>
        <w:numPr>
          <w:ilvl w:val="0"/>
          <w:numId w:val="4"/>
        </w:numPr>
        <w:tabs>
          <w:tab w:val="clear" w:pos="2232"/>
        </w:tabs>
        <w:ind w:left="1980" w:hanging="360"/>
      </w:pPr>
      <w:r>
        <w:t>Employee shall be informed that:</w:t>
      </w:r>
    </w:p>
    <w:p w14:paraId="733AD9EF" w14:textId="77777777" w:rsidR="0078124F" w:rsidRDefault="00401174" w:rsidP="00401174">
      <w:pPr>
        <w:tabs>
          <w:tab w:val="left" w:pos="2340"/>
        </w:tabs>
        <w:ind w:left="2340" w:hanging="360"/>
      </w:pPr>
      <w:r>
        <w:lastRenderedPageBreak/>
        <w:t>-</w:t>
      </w:r>
      <w:r>
        <w:tab/>
      </w:r>
      <w:r w:rsidR="0078124F" w:rsidRPr="008236A9">
        <w:rPr>
          <w:b/>
        </w:rPr>
        <w:t>The employer is prohibited fro</w:t>
      </w:r>
      <w:r w:rsidR="00495DD0" w:rsidRPr="008236A9">
        <w:rPr>
          <w:b/>
        </w:rPr>
        <w:t>m discharging or discriminating against an employee who exercises their right to obtain information regarding hazardous chemicals used in the workplace.</w:t>
      </w:r>
    </w:p>
    <w:p w14:paraId="33C7A188" w14:textId="77777777" w:rsidR="0078124F" w:rsidRDefault="0078124F" w:rsidP="0078124F">
      <w:pPr>
        <w:tabs>
          <w:tab w:val="left" w:pos="2340"/>
        </w:tabs>
        <w:ind w:left="3240"/>
      </w:pPr>
    </w:p>
    <w:p w14:paraId="0C8CB40E" w14:textId="77777777" w:rsidR="0051004C" w:rsidRDefault="0051004C" w:rsidP="0078124F">
      <w:pPr>
        <w:tabs>
          <w:tab w:val="left" w:pos="2340"/>
        </w:tabs>
        <w:ind w:left="3240"/>
      </w:pPr>
    </w:p>
    <w:p w14:paraId="0CE421CE" w14:textId="77777777" w:rsidR="0051004C" w:rsidRDefault="0051004C" w:rsidP="0078124F">
      <w:pPr>
        <w:tabs>
          <w:tab w:val="left" w:pos="2340"/>
        </w:tabs>
        <w:ind w:left="3240"/>
      </w:pPr>
    </w:p>
    <w:p w14:paraId="26F18F77" w14:textId="77777777" w:rsidR="00186715" w:rsidRDefault="0078124F" w:rsidP="0078124F">
      <w:pPr>
        <w:numPr>
          <w:ilvl w:val="2"/>
          <w:numId w:val="1"/>
        </w:numPr>
        <w:tabs>
          <w:tab w:val="clear" w:pos="1440"/>
          <w:tab w:val="num" w:pos="1620"/>
        </w:tabs>
        <w:ind w:left="1620" w:hanging="720"/>
      </w:pPr>
      <w:r>
        <w:t xml:space="preserve">The job site manager/coordinator/trainer shall </w:t>
      </w:r>
    </w:p>
    <w:p w14:paraId="1C19817A" w14:textId="77777777" w:rsidR="00186715" w:rsidRDefault="0078124F" w:rsidP="00186715">
      <w:pPr>
        <w:numPr>
          <w:ilvl w:val="3"/>
          <w:numId w:val="1"/>
        </w:numPr>
        <w:ind w:hanging="1098"/>
      </w:pPr>
      <w:r>
        <w:t xml:space="preserve">review all jobsite related safety issues with employees.  On a </w:t>
      </w:r>
      <w:proofErr w:type="gramStart"/>
      <w:r>
        <w:t>regular basis employees</w:t>
      </w:r>
      <w:proofErr w:type="gramEnd"/>
      <w:r>
        <w:t xml:space="preserve"> will be given safety reviews on specific safety issues for the benefit of</w:t>
      </w:r>
      <w:r w:rsidR="00DE77B1">
        <w:t xml:space="preserve"> the employee as a refresher.  </w:t>
      </w:r>
    </w:p>
    <w:p w14:paraId="1988F678" w14:textId="77777777" w:rsidR="0078124F" w:rsidRDefault="00186715" w:rsidP="00186715">
      <w:pPr>
        <w:numPr>
          <w:ilvl w:val="3"/>
          <w:numId w:val="1"/>
        </w:numPr>
        <w:ind w:hanging="1098"/>
      </w:pPr>
      <w:r>
        <w:t xml:space="preserve">SDS </w:t>
      </w:r>
      <w:r w:rsidR="0078124F">
        <w:t xml:space="preserve">training will be reviewed </w:t>
      </w:r>
      <w:r w:rsidR="003C5B72">
        <w:t>annually</w:t>
      </w:r>
      <w:r w:rsidR="0078124F">
        <w:t>.</w:t>
      </w:r>
    </w:p>
    <w:p w14:paraId="36642892" w14:textId="77777777" w:rsidR="00186715" w:rsidRDefault="00186715" w:rsidP="00186715">
      <w:pPr>
        <w:numPr>
          <w:ilvl w:val="3"/>
          <w:numId w:val="1"/>
        </w:numPr>
        <w:ind w:hanging="1098"/>
      </w:pPr>
      <w:r>
        <w:t>Each job site shall review specific chemicals and their SDS.</w:t>
      </w:r>
    </w:p>
    <w:p w14:paraId="3B752DC0" w14:textId="77777777" w:rsidR="00495DD0" w:rsidRDefault="00495DD0" w:rsidP="00495DD0"/>
    <w:p w14:paraId="1968E7E2" w14:textId="77777777" w:rsidR="00495DD0" w:rsidRDefault="00495DD0" w:rsidP="00495DD0">
      <w:pPr>
        <w:numPr>
          <w:ilvl w:val="1"/>
          <w:numId w:val="1"/>
        </w:numPr>
        <w:tabs>
          <w:tab w:val="clear" w:pos="792"/>
          <w:tab w:val="num" w:pos="900"/>
        </w:tabs>
        <w:ind w:left="900" w:hanging="540"/>
      </w:pPr>
      <w:r>
        <w:t>Pipes and Piping Systems</w:t>
      </w:r>
    </w:p>
    <w:p w14:paraId="6894875D" w14:textId="77777777" w:rsidR="00495DD0" w:rsidRDefault="00495DD0" w:rsidP="004F4D87">
      <w:pPr>
        <w:numPr>
          <w:ilvl w:val="2"/>
          <w:numId w:val="1"/>
        </w:numPr>
        <w:tabs>
          <w:tab w:val="clear" w:pos="1440"/>
          <w:tab w:val="num" w:pos="1620"/>
        </w:tabs>
        <w:ind w:left="1620" w:hanging="720"/>
      </w:pPr>
      <w:r>
        <w:t xml:space="preserve">Information on the hazardous content of popes and piping systems will be identified by the owner(s) of the facility(s) we service or lease space from (our offices) since </w:t>
      </w:r>
      <w:r w:rsidR="00797ABA">
        <w:t>GDI</w:t>
      </w:r>
      <w:r>
        <w:t xml:space="preserve"> does not manage or own its own office facilities.  For employee’s reference, the ANSI A13.1-1981 recommends the following colorations:  blue for low-medium oxygen and compressed air lines, yellow for variable-high pressure oxygen and compressed air lines, and yellow for acetylene and natural gas lines.</w:t>
      </w:r>
    </w:p>
    <w:p w14:paraId="2519F8D1" w14:textId="77777777" w:rsidR="00495DD0" w:rsidRDefault="00495DD0" w:rsidP="00495DD0"/>
    <w:p w14:paraId="706B3154" w14:textId="77777777" w:rsidR="00495DD0" w:rsidRDefault="00495DD0" w:rsidP="000B73BD">
      <w:pPr>
        <w:keepNext/>
        <w:keepLines/>
        <w:numPr>
          <w:ilvl w:val="1"/>
          <w:numId w:val="1"/>
        </w:numPr>
        <w:tabs>
          <w:tab w:val="clear" w:pos="792"/>
          <w:tab w:val="num" w:pos="900"/>
        </w:tabs>
        <w:ind w:left="900" w:hanging="540"/>
      </w:pPr>
      <w:r>
        <w:t>List of Hazardous Chemicals</w:t>
      </w:r>
    </w:p>
    <w:p w14:paraId="5B5067B0" w14:textId="77777777" w:rsidR="00495DD0" w:rsidRDefault="001C3C29" w:rsidP="000B73BD">
      <w:pPr>
        <w:keepNext/>
        <w:keepLines/>
        <w:numPr>
          <w:ilvl w:val="2"/>
          <w:numId w:val="1"/>
        </w:numPr>
        <w:tabs>
          <w:tab w:val="clear" w:pos="1440"/>
          <w:tab w:val="num" w:pos="1620"/>
        </w:tabs>
        <w:ind w:left="1620" w:hanging="720"/>
      </w:pPr>
      <w:r>
        <w:t xml:space="preserve">A list of </w:t>
      </w:r>
      <w:r w:rsidR="008236A9">
        <w:t xml:space="preserve">dangerous chemicals shall be posted at job sites where such chemicals are in use. </w:t>
      </w:r>
    </w:p>
    <w:p w14:paraId="36A6B4AA" w14:textId="77777777" w:rsidR="008236A9" w:rsidRDefault="008236A9" w:rsidP="00A83C2D">
      <w:pPr>
        <w:numPr>
          <w:ilvl w:val="2"/>
          <w:numId w:val="1"/>
        </w:numPr>
        <w:tabs>
          <w:tab w:val="clear" w:pos="1440"/>
          <w:tab w:val="num" w:pos="1620"/>
        </w:tabs>
        <w:ind w:left="1620" w:hanging="720"/>
      </w:pPr>
      <w:r>
        <w:t>All chemicals used (frequently or infrequently) shall be part of the posted site SDS book.</w:t>
      </w:r>
    </w:p>
    <w:p w14:paraId="346D9C8C" w14:textId="77777777" w:rsidR="003F6516" w:rsidRDefault="003F6516" w:rsidP="003F6516">
      <w:pPr>
        <w:ind w:left="900"/>
      </w:pPr>
    </w:p>
    <w:p w14:paraId="6C1B88F0" w14:textId="77777777" w:rsidR="003F6516" w:rsidRDefault="003F6516" w:rsidP="003F6516">
      <w:pPr>
        <w:numPr>
          <w:ilvl w:val="1"/>
          <w:numId w:val="1"/>
        </w:numPr>
        <w:tabs>
          <w:tab w:val="clear" w:pos="792"/>
          <w:tab w:val="num" w:pos="900"/>
        </w:tabs>
        <w:ind w:left="900" w:hanging="540"/>
      </w:pPr>
      <w:r>
        <w:t>Hazardous Non-routine Tasks</w:t>
      </w:r>
    </w:p>
    <w:p w14:paraId="77615678" w14:textId="77777777" w:rsidR="003F6516" w:rsidRDefault="003F6516" w:rsidP="004F4D87">
      <w:pPr>
        <w:numPr>
          <w:ilvl w:val="2"/>
          <w:numId w:val="1"/>
        </w:numPr>
        <w:tabs>
          <w:tab w:val="clear" w:pos="1440"/>
          <w:tab w:val="num" w:pos="1620"/>
        </w:tabs>
        <w:ind w:left="1620" w:hanging="720"/>
      </w:pPr>
      <w:r>
        <w:t>In the event employees are required to perform non-routine tasks (i.e., enter confined spaces)</w:t>
      </w:r>
      <w:r w:rsidR="00401174">
        <w:t>,</w:t>
      </w:r>
      <w:r>
        <w:t xml:space="preserve"> each employee will be given information about the hazards of the area or procedure prior to starting such work.  This information would include (a) </w:t>
      </w:r>
      <w:r w:rsidR="0051188A">
        <w:t>specific</w:t>
      </w:r>
      <w:r>
        <w:t xml:space="preserve"> chemical hazards, (b) protection/safety measures the employee can take, and (c) measures </w:t>
      </w:r>
      <w:r w:rsidR="00797ABA">
        <w:t>GDI</w:t>
      </w:r>
      <w:r>
        <w:t xml:space="preserve"> has taken to el</w:t>
      </w:r>
      <w:r w:rsidR="0051188A">
        <w:t>iminate or control the hazard (i</w:t>
      </w:r>
      <w:r>
        <w:t>.e., ventilation requirements, use of respirators, use of moni</w:t>
      </w:r>
      <w:r w:rsidR="007D3073">
        <w:t>tors</w:t>
      </w:r>
      <w:r w:rsidR="003A2B86">
        <w:t>,</w:t>
      </w:r>
      <w:r w:rsidR="007D3073">
        <w:t xml:space="preserve"> or emergency procedures).</w:t>
      </w:r>
    </w:p>
    <w:p w14:paraId="6C3F4063" w14:textId="77777777" w:rsidR="003F6516" w:rsidRDefault="00601161" w:rsidP="004F4D87">
      <w:pPr>
        <w:numPr>
          <w:ilvl w:val="2"/>
          <w:numId w:val="1"/>
        </w:numPr>
        <w:tabs>
          <w:tab w:val="clear" w:pos="1440"/>
          <w:tab w:val="num" w:pos="1620"/>
        </w:tabs>
        <w:ind w:left="1620" w:hanging="720"/>
      </w:pPr>
      <w:r>
        <w:t>Currently GDI</w:t>
      </w:r>
      <w:r w:rsidR="003F6516">
        <w:t xml:space="preserve"> does not engage in any non-routine tasks that pose such a hazard, but the above policy is in effect for any segregated and unique task that may occur.</w:t>
      </w:r>
    </w:p>
    <w:p w14:paraId="51960D7A" w14:textId="77777777" w:rsidR="003F6516" w:rsidRDefault="003F6516" w:rsidP="004F4D87">
      <w:pPr>
        <w:numPr>
          <w:ilvl w:val="2"/>
          <w:numId w:val="1"/>
        </w:numPr>
        <w:tabs>
          <w:tab w:val="clear" w:pos="1440"/>
          <w:tab w:val="num" w:pos="1620"/>
        </w:tabs>
        <w:ind w:left="1620" w:hanging="720"/>
      </w:pPr>
      <w:r>
        <w:t>Blood borne pathogen cle</w:t>
      </w:r>
      <w:r w:rsidR="00601161">
        <w:t xml:space="preserve">anup is to be performed by GDI </w:t>
      </w:r>
      <w:r>
        <w:t>personnel using the ‘</w:t>
      </w:r>
      <w:proofErr w:type="spellStart"/>
      <w:r>
        <w:t>Hepa</w:t>
      </w:r>
      <w:proofErr w:type="spellEnd"/>
      <w:r>
        <w:t>’ kits located on each jobsite.  Spills beyond the limit of the kit’s absorbent are deemed non-serviceable and thus attempts to clean must be directed to the customer their alternate source(s).</w:t>
      </w:r>
    </w:p>
    <w:p w14:paraId="048FD060" w14:textId="77777777" w:rsidR="003F6516" w:rsidRDefault="003F6516" w:rsidP="003F6516">
      <w:pPr>
        <w:ind w:left="900"/>
      </w:pPr>
    </w:p>
    <w:p w14:paraId="1C399831" w14:textId="77777777" w:rsidR="003F6516" w:rsidRDefault="003F6516" w:rsidP="004F4D87">
      <w:pPr>
        <w:ind w:left="1620"/>
      </w:pPr>
      <w:r>
        <w:t>When using the blood borne pathogen kit, employees must wear all protective gear provided (face shield and/or eye protection, garment/gown and gloves) and should follow the instructions in the kit NOT skipping the order of tasks to be performed.</w:t>
      </w:r>
    </w:p>
    <w:p w14:paraId="689054CF" w14:textId="77777777" w:rsidR="003F6516" w:rsidRDefault="003F6516" w:rsidP="003F6516">
      <w:pPr>
        <w:ind w:left="1800"/>
      </w:pPr>
    </w:p>
    <w:p w14:paraId="04126E35" w14:textId="77777777" w:rsidR="003F6516" w:rsidRDefault="003F6516" w:rsidP="004F4D87">
      <w:pPr>
        <w:ind w:left="1620"/>
      </w:pPr>
      <w:r>
        <w:t>When cleaning a blood borne spill</w:t>
      </w:r>
      <w:r w:rsidR="00681D58">
        <w:t>,</w:t>
      </w:r>
      <w:r>
        <w:t xml:space="preserve"> an employee must notify their supervisor first prior to start of work, proceed with cleanup upon authorization of supervisor, mark the area with wet floor/caution signs and only then proceed.</w:t>
      </w:r>
    </w:p>
    <w:p w14:paraId="521A9509" w14:textId="77777777" w:rsidR="003F6516" w:rsidRDefault="003F6516" w:rsidP="003F6516">
      <w:pPr>
        <w:ind w:left="1800"/>
      </w:pPr>
    </w:p>
    <w:p w14:paraId="60D4536F" w14:textId="77777777" w:rsidR="003F6516" w:rsidRDefault="003F6516" w:rsidP="004F4D87">
      <w:pPr>
        <w:ind w:left="1620"/>
      </w:pPr>
      <w:r>
        <w:t xml:space="preserve">All employees will receive training and awareness of this process upon hire and annually during the company’s </w:t>
      </w:r>
      <w:proofErr w:type="spellStart"/>
      <w:r>
        <w:t>haz</w:t>
      </w:r>
      <w:proofErr w:type="spellEnd"/>
      <w:r>
        <w:t xml:space="preserve"> com policy review.</w:t>
      </w:r>
    </w:p>
    <w:p w14:paraId="4C91A902" w14:textId="77777777" w:rsidR="003F6516" w:rsidRDefault="003F6516" w:rsidP="003F6516">
      <w:pPr>
        <w:ind w:left="1800"/>
      </w:pPr>
    </w:p>
    <w:p w14:paraId="0B0D89D9" w14:textId="77777777" w:rsidR="003F6516" w:rsidRDefault="003F6516" w:rsidP="000B73BD">
      <w:pPr>
        <w:keepNext/>
        <w:keepLines/>
        <w:numPr>
          <w:ilvl w:val="1"/>
          <w:numId w:val="1"/>
        </w:numPr>
        <w:tabs>
          <w:tab w:val="clear" w:pos="792"/>
          <w:tab w:val="num" w:pos="900"/>
        </w:tabs>
        <w:ind w:left="900" w:hanging="540"/>
      </w:pPr>
      <w:r>
        <w:t>Multi-Employer Worksites – Informing Customer(s)</w:t>
      </w:r>
    </w:p>
    <w:p w14:paraId="216DEE53" w14:textId="77777777" w:rsidR="003F6516" w:rsidRDefault="003F6516" w:rsidP="000B73BD">
      <w:pPr>
        <w:keepNext/>
        <w:keepLines/>
        <w:numPr>
          <w:ilvl w:val="2"/>
          <w:numId w:val="1"/>
        </w:numPr>
        <w:tabs>
          <w:tab w:val="clear" w:pos="1440"/>
          <w:tab w:val="num" w:pos="1620"/>
        </w:tabs>
        <w:ind w:left="1620" w:hanging="720"/>
      </w:pPr>
      <w:r>
        <w:t xml:space="preserve">If </w:t>
      </w:r>
      <w:r w:rsidR="00601161">
        <w:t>GDI</w:t>
      </w:r>
      <w:r>
        <w:t xml:space="preserve"> exposes any employee, guest</w:t>
      </w:r>
      <w:r w:rsidR="00681D58">
        <w:t>,</w:t>
      </w:r>
      <w:r>
        <w:t xml:space="preserve"> or visitor of another employer/company to any hazardous chemicals that we produce, use, or store</w:t>
      </w:r>
      <w:r w:rsidR="001C5F92">
        <w:t>,</w:t>
      </w:r>
      <w:r>
        <w:t xml:space="preserve"> the following information will be supplied to that employer/customer:</w:t>
      </w:r>
    </w:p>
    <w:p w14:paraId="115CAB3D" w14:textId="77777777" w:rsidR="003F6516" w:rsidRDefault="00CA25ED" w:rsidP="007D3073">
      <w:pPr>
        <w:numPr>
          <w:ilvl w:val="3"/>
          <w:numId w:val="1"/>
        </w:numPr>
        <w:tabs>
          <w:tab w:val="num" w:pos="2520"/>
        </w:tabs>
        <w:ind w:left="2520" w:hanging="900"/>
      </w:pPr>
      <w:r>
        <w:t xml:space="preserve">The hazardous chemicals they </w:t>
      </w:r>
      <w:r w:rsidR="001C5F92">
        <w:t xml:space="preserve">may </w:t>
      </w:r>
      <w:r>
        <w:t>encounter</w:t>
      </w:r>
    </w:p>
    <w:p w14:paraId="2B2208C5" w14:textId="77777777" w:rsidR="007D3073" w:rsidRDefault="00CA25ED" w:rsidP="0029317A">
      <w:pPr>
        <w:numPr>
          <w:ilvl w:val="3"/>
          <w:numId w:val="1"/>
        </w:numPr>
        <w:tabs>
          <w:tab w:val="num" w:pos="2520"/>
        </w:tabs>
        <w:ind w:left="2520" w:hanging="900"/>
      </w:pPr>
      <w:r>
        <w:t>Measures their employees can take to control or eliminate exposure to the hazardous chemicals</w:t>
      </w:r>
    </w:p>
    <w:p w14:paraId="53B73D97" w14:textId="77777777" w:rsidR="00CA25ED" w:rsidRDefault="00CA25ED" w:rsidP="007D3073">
      <w:pPr>
        <w:numPr>
          <w:ilvl w:val="3"/>
          <w:numId w:val="1"/>
        </w:numPr>
        <w:tabs>
          <w:tab w:val="num" w:pos="2520"/>
        </w:tabs>
        <w:ind w:left="2520" w:hanging="900"/>
      </w:pPr>
      <w:r>
        <w:t>The container and pipe labeling system used onsite.</w:t>
      </w:r>
    </w:p>
    <w:p w14:paraId="37C2A365" w14:textId="77777777" w:rsidR="00CA25ED" w:rsidRDefault="00DE77B1" w:rsidP="007D3073">
      <w:pPr>
        <w:numPr>
          <w:ilvl w:val="3"/>
          <w:numId w:val="1"/>
        </w:numPr>
        <w:tabs>
          <w:tab w:val="num" w:pos="2520"/>
        </w:tabs>
        <w:ind w:left="2520" w:hanging="900"/>
      </w:pPr>
      <w:r>
        <w:t xml:space="preserve">Where applicable </w:t>
      </w:r>
      <w:r w:rsidR="00CA25ED">
        <w:t>SDS can be reviewed or obtained.</w:t>
      </w:r>
    </w:p>
    <w:p w14:paraId="410335DA" w14:textId="77777777" w:rsidR="007D3073" w:rsidRDefault="007D3073" w:rsidP="007D3073">
      <w:pPr>
        <w:tabs>
          <w:tab w:val="num" w:pos="3510"/>
        </w:tabs>
        <w:ind w:left="1620"/>
      </w:pPr>
    </w:p>
    <w:p w14:paraId="3335D612" w14:textId="77777777" w:rsidR="00CA25ED" w:rsidRDefault="00601161" w:rsidP="008236A9">
      <w:pPr>
        <w:numPr>
          <w:ilvl w:val="2"/>
          <w:numId w:val="1"/>
        </w:numPr>
        <w:tabs>
          <w:tab w:val="clear" w:pos="1440"/>
          <w:tab w:val="num" w:pos="900"/>
        </w:tabs>
        <w:ind w:left="1620" w:hanging="720"/>
      </w:pPr>
      <w:r>
        <w:t xml:space="preserve">In the event that GDI </w:t>
      </w:r>
      <w:r w:rsidR="00CA25ED">
        <w:t>employees may be exposed to potentially hazardous chemicals brought into our facilities or into our customer’s facilities</w:t>
      </w:r>
      <w:r w:rsidR="001C5F92">
        <w:t>,</w:t>
      </w:r>
      <w:r w:rsidR="00CA25ED">
        <w:t xml:space="preserve"> we will obtain from that source information pertaining to the types of chemicals along with measures that should be taken to control or eliminate exposure.</w:t>
      </w:r>
    </w:p>
    <w:p w14:paraId="33623D44" w14:textId="77777777" w:rsidR="00CA25ED" w:rsidRDefault="00CA25ED" w:rsidP="007D3073">
      <w:pPr>
        <w:numPr>
          <w:ilvl w:val="2"/>
          <w:numId w:val="1"/>
        </w:numPr>
        <w:tabs>
          <w:tab w:val="clear" w:pos="1440"/>
          <w:tab w:val="num" w:pos="1620"/>
        </w:tabs>
        <w:ind w:left="1620" w:hanging="720"/>
      </w:pPr>
      <w:r>
        <w:t>It is the responsibility of the site coordinator and/or project/operations manager to ensure that such information is provided and/or obtained prior to any services being performed by the offsite party.  The information will be obtained through direct interface with our customer(s) and/or facility managers.</w:t>
      </w:r>
    </w:p>
    <w:p w14:paraId="5AD5338A" w14:textId="77777777" w:rsidR="00CA25ED" w:rsidRDefault="00CA25ED" w:rsidP="00CA25ED">
      <w:pPr>
        <w:ind w:left="900"/>
      </w:pPr>
    </w:p>
    <w:p w14:paraId="40272D2B" w14:textId="77777777" w:rsidR="00CA25ED" w:rsidRDefault="00CA25ED" w:rsidP="00CA25ED">
      <w:pPr>
        <w:numPr>
          <w:ilvl w:val="1"/>
          <w:numId w:val="1"/>
        </w:numPr>
        <w:tabs>
          <w:tab w:val="clear" w:pos="792"/>
          <w:tab w:val="num" w:pos="900"/>
        </w:tabs>
        <w:ind w:left="900" w:hanging="540"/>
      </w:pPr>
      <w:r>
        <w:t>Spill containment</w:t>
      </w:r>
    </w:p>
    <w:p w14:paraId="39FCA403" w14:textId="77777777" w:rsidR="00CA25ED" w:rsidRDefault="00CA25ED" w:rsidP="007D3073">
      <w:pPr>
        <w:numPr>
          <w:ilvl w:val="2"/>
          <w:numId w:val="1"/>
        </w:numPr>
        <w:tabs>
          <w:tab w:val="clear" w:pos="1440"/>
          <w:tab w:val="num" w:pos="1620"/>
        </w:tabs>
        <w:ind w:left="1620" w:hanging="720"/>
      </w:pPr>
      <w:r>
        <w:t>Product containment through purchasing – I</w:t>
      </w:r>
      <w:r w:rsidR="0034690E">
        <w:t>n order to avoid spillage in GDI</w:t>
      </w:r>
      <w:r>
        <w:t xml:space="preserve"> warehouses or on the jobsite, the purchasing of large containers (over 5 gallons) is general prohibited with exceptions made only when a specific jobsite dictates such a bulk purchase.</w:t>
      </w:r>
    </w:p>
    <w:p w14:paraId="2C2CD551" w14:textId="77777777" w:rsidR="0034690E" w:rsidRDefault="00CA25ED" w:rsidP="007D3073">
      <w:pPr>
        <w:numPr>
          <w:ilvl w:val="2"/>
          <w:numId w:val="1"/>
        </w:numPr>
        <w:tabs>
          <w:tab w:val="clear" w:pos="1440"/>
          <w:tab w:val="num" w:pos="1620"/>
        </w:tabs>
        <w:ind w:left="1620" w:hanging="720"/>
      </w:pPr>
      <w:r>
        <w:t xml:space="preserve">Product containment through site prevention – For jobsites that have chemical product in containers exceeding </w:t>
      </w:r>
      <w:proofErr w:type="gramStart"/>
      <w:r>
        <w:t>5 gallon</w:t>
      </w:r>
      <w:proofErr w:type="gramEnd"/>
      <w:r>
        <w:t xml:space="preserve"> spill guards, containment housings or other OSHA approved devices will be put into</w:t>
      </w:r>
      <w:r w:rsidR="007D3073">
        <w:t xml:space="preserve"> play with the storage of these </w:t>
      </w:r>
      <w:r>
        <w:t xml:space="preserve">products.  </w:t>
      </w:r>
    </w:p>
    <w:p w14:paraId="4F00502D" w14:textId="7311C957" w:rsidR="00CA25ED" w:rsidRDefault="00CA25ED" w:rsidP="0034690E">
      <w:pPr>
        <w:numPr>
          <w:ilvl w:val="3"/>
          <w:numId w:val="1"/>
        </w:numPr>
        <w:tabs>
          <w:tab w:val="clear" w:pos="3510"/>
          <w:tab w:val="num" w:pos="2610"/>
        </w:tabs>
        <w:ind w:left="2610" w:hanging="1008"/>
      </w:pPr>
      <w:r>
        <w:lastRenderedPageBreak/>
        <w:t>Policies on how to properly use and store chemical</w:t>
      </w:r>
      <w:r w:rsidR="000B73BD">
        <w:t>s</w:t>
      </w:r>
      <w:r>
        <w:t xml:space="preserve"> in thes</w:t>
      </w:r>
      <w:r w:rsidR="00F02583">
        <w:t>4.12</w:t>
      </w:r>
      <w:r>
        <w:t>e containment units will be maintained on the jobsite and all employees shall be trained on general awareness of such containment systems.</w:t>
      </w:r>
    </w:p>
    <w:p w14:paraId="5A10C0B0" w14:textId="77777777" w:rsidR="0034690E" w:rsidRDefault="0034690E" w:rsidP="0034690E">
      <w:pPr>
        <w:numPr>
          <w:ilvl w:val="3"/>
          <w:numId w:val="1"/>
        </w:numPr>
        <w:tabs>
          <w:tab w:val="clear" w:pos="3510"/>
          <w:tab w:val="num" w:pos="2610"/>
        </w:tabs>
        <w:ind w:left="2610" w:hanging="1008"/>
      </w:pPr>
      <w:r>
        <w:t xml:space="preserve">Spill containment measures shall comply and be rated to handle the amount of chemical a specific container(s) can hold that could be expected in a possible spill scenario. </w:t>
      </w:r>
    </w:p>
    <w:p w14:paraId="4FBD00D2" w14:textId="77777777" w:rsidR="0034690E" w:rsidRDefault="0034690E" w:rsidP="0034690E">
      <w:pPr>
        <w:numPr>
          <w:ilvl w:val="2"/>
          <w:numId w:val="1"/>
        </w:numPr>
        <w:tabs>
          <w:tab w:val="clear" w:pos="1440"/>
        </w:tabs>
        <w:ind w:left="1620" w:hanging="900"/>
      </w:pPr>
      <w:r>
        <w:t>Prevention:  keeping areas clean and orderly is one of the primary steps in spill prevention.  Management shall audit these areas as part of their site safety audits to validate housekeeping, storage and use programs are effective and are not lending to potential spills.</w:t>
      </w:r>
    </w:p>
    <w:p w14:paraId="20D54CCF" w14:textId="77777777" w:rsidR="0034690E" w:rsidRDefault="00CA6C11" w:rsidP="0034690E">
      <w:pPr>
        <w:numPr>
          <w:ilvl w:val="2"/>
          <w:numId w:val="1"/>
        </w:numPr>
        <w:tabs>
          <w:tab w:val="clear" w:pos="1440"/>
          <w:tab w:val="left" w:pos="1620"/>
        </w:tabs>
        <w:ind w:left="1620" w:hanging="900"/>
      </w:pPr>
      <w:r>
        <w:t>In the event of a chemical release/spill the following communication protocols must be followed in the order listed below (first listed – first utilized):</w:t>
      </w:r>
    </w:p>
    <w:p w14:paraId="31F076D8" w14:textId="77777777" w:rsidR="00CA6C11" w:rsidRDefault="00CA6C11" w:rsidP="00CA6C11">
      <w:pPr>
        <w:numPr>
          <w:ilvl w:val="3"/>
          <w:numId w:val="1"/>
        </w:numPr>
        <w:tabs>
          <w:tab w:val="left" w:pos="1620"/>
        </w:tabs>
      </w:pPr>
      <w:r>
        <w:t>Notify site security of spill</w:t>
      </w:r>
    </w:p>
    <w:p w14:paraId="710C078B" w14:textId="77777777" w:rsidR="00CA6C11" w:rsidRDefault="00CA6C11" w:rsidP="00CA6C11">
      <w:pPr>
        <w:tabs>
          <w:tab w:val="left" w:pos="1620"/>
        </w:tabs>
        <w:ind w:left="3600"/>
      </w:pPr>
      <w:r>
        <w:t>If the spill has potentially hazardous / life threatening conditions local emergency agencies must be notified through site security or directly when there is no site security.</w:t>
      </w:r>
    </w:p>
    <w:p w14:paraId="758A5FD8" w14:textId="77777777" w:rsidR="00CA6C11" w:rsidRDefault="00CA6C11" w:rsidP="00CA6C11">
      <w:pPr>
        <w:numPr>
          <w:ilvl w:val="3"/>
          <w:numId w:val="1"/>
        </w:numPr>
        <w:tabs>
          <w:tab w:val="left" w:pos="1620"/>
        </w:tabs>
      </w:pPr>
      <w:r>
        <w:t>Notify direct site contact of spill</w:t>
      </w:r>
    </w:p>
    <w:p w14:paraId="588BE784" w14:textId="77777777" w:rsidR="00CA6C11" w:rsidRDefault="00CA6C11" w:rsidP="00CA6C11">
      <w:pPr>
        <w:numPr>
          <w:ilvl w:val="3"/>
          <w:numId w:val="1"/>
        </w:numPr>
        <w:tabs>
          <w:tab w:val="left" w:pos="1620"/>
        </w:tabs>
      </w:pPr>
      <w:r>
        <w:t>Notify GDI management</w:t>
      </w:r>
    </w:p>
    <w:p w14:paraId="0A3D8B26" w14:textId="77777777" w:rsidR="00CA6C11" w:rsidRDefault="00CA6C11" w:rsidP="00CA6C11">
      <w:pPr>
        <w:numPr>
          <w:ilvl w:val="3"/>
          <w:numId w:val="1"/>
        </w:numPr>
        <w:tabs>
          <w:tab w:val="left" w:pos="1620"/>
        </w:tabs>
      </w:pPr>
      <w:r>
        <w:t>Notify GDI Safety</w:t>
      </w:r>
    </w:p>
    <w:p w14:paraId="760FDC43" w14:textId="77777777" w:rsidR="008236A9" w:rsidRDefault="008236A9" w:rsidP="008236A9">
      <w:pPr>
        <w:numPr>
          <w:ilvl w:val="1"/>
          <w:numId w:val="1"/>
        </w:numPr>
        <w:tabs>
          <w:tab w:val="clear" w:pos="792"/>
          <w:tab w:val="num" w:pos="900"/>
        </w:tabs>
      </w:pPr>
      <w:r>
        <w:t>Mixing Chemicals</w:t>
      </w:r>
    </w:p>
    <w:p w14:paraId="5981DDAA" w14:textId="77777777" w:rsidR="008236A9" w:rsidRDefault="008236A9" w:rsidP="008236A9">
      <w:pPr>
        <w:numPr>
          <w:ilvl w:val="2"/>
          <w:numId w:val="1"/>
        </w:numPr>
        <w:ind w:left="1620" w:hanging="720"/>
      </w:pPr>
      <w:r>
        <w:t>Employee should never mix two chemicals OR use two chemicals at the same time on the same surfaces (areas of cleaning) either in tandem or together.  This could cause a potentially serious chemical reaction that could lead to possibly serious injury.</w:t>
      </w:r>
    </w:p>
    <w:p w14:paraId="6621AF2D" w14:textId="77777777" w:rsidR="008236A9" w:rsidRDefault="008236A9" w:rsidP="008236A9">
      <w:pPr>
        <w:numPr>
          <w:ilvl w:val="2"/>
          <w:numId w:val="1"/>
        </w:numPr>
        <w:ind w:left="1620" w:hanging="720"/>
      </w:pPr>
      <w:r>
        <w:t>When using a chemical mixing station OR transferring ANY liquid from one container/vessel to another safety goggles shall be worn until the mixing (of concentrated chemical) / filling task is complete.</w:t>
      </w:r>
    </w:p>
    <w:p w14:paraId="354A4B2F" w14:textId="77777777" w:rsidR="008236A9" w:rsidRDefault="008236A9" w:rsidP="008236A9">
      <w:pPr>
        <w:numPr>
          <w:ilvl w:val="2"/>
          <w:numId w:val="1"/>
        </w:numPr>
        <w:ind w:left="1620" w:hanging="720"/>
      </w:pPr>
      <w:r>
        <w:t xml:space="preserve">Although many chemicals can react badly when mixed the following are </w:t>
      </w:r>
      <w:r w:rsidR="003E5C24">
        <w:t xml:space="preserve">of </w:t>
      </w:r>
      <w:proofErr w:type="gramStart"/>
      <w:r w:rsidR="003E5C24">
        <w:t>particular concern</w:t>
      </w:r>
      <w:proofErr w:type="gramEnd"/>
      <w:r w:rsidR="003E5C24">
        <w:t>:</w:t>
      </w:r>
    </w:p>
    <w:p w14:paraId="7E330AE2" w14:textId="77777777" w:rsidR="003E5C24" w:rsidRDefault="003E5C24" w:rsidP="003E5C24">
      <w:pPr>
        <w:ind w:left="2430"/>
      </w:pPr>
      <w:r>
        <w:t xml:space="preserve">Do not mix bleach and ammonia. </w:t>
      </w:r>
    </w:p>
    <w:p w14:paraId="073584E1" w14:textId="77777777" w:rsidR="003E5C24" w:rsidRDefault="003E5C24" w:rsidP="003E5C24">
      <w:pPr>
        <w:ind w:left="2430"/>
      </w:pPr>
      <w:r>
        <w:t xml:space="preserve">Do not mix bleach and acids. </w:t>
      </w:r>
    </w:p>
    <w:p w14:paraId="2B375A1F" w14:textId="77777777" w:rsidR="008236A9" w:rsidRDefault="003E5C24" w:rsidP="003E5C24">
      <w:pPr>
        <w:ind w:left="2430"/>
      </w:pPr>
      <w:r>
        <w:t>Do not use two drain cleaners together, or one right after the other.</w:t>
      </w:r>
    </w:p>
    <w:p w14:paraId="05891B73" w14:textId="2F451A79" w:rsidR="00CA25ED" w:rsidRDefault="00CA25ED" w:rsidP="00CA25ED"/>
    <w:p w14:paraId="09157033" w14:textId="77777777" w:rsidR="00F02583" w:rsidRDefault="00F02583" w:rsidP="00CA25ED"/>
    <w:p w14:paraId="79B89A8B" w14:textId="3AACDD31" w:rsidR="00F02583" w:rsidRDefault="00F02583" w:rsidP="00F02583">
      <w:pPr>
        <w:numPr>
          <w:ilvl w:val="1"/>
          <w:numId w:val="1"/>
        </w:numPr>
        <w:tabs>
          <w:tab w:val="left" w:pos="900"/>
        </w:tabs>
        <w:rPr>
          <w:bCs/>
        </w:rPr>
      </w:pPr>
      <w:r w:rsidRPr="00F02583">
        <w:rPr>
          <w:bCs/>
        </w:rPr>
        <w:t>Process Safety Management</w:t>
      </w:r>
    </w:p>
    <w:p w14:paraId="14AE85E2" w14:textId="2194552D" w:rsidR="00F02583" w:rsidRDefault="00F02583" w:rsidP="00F02583">
      <w:pPr>
        <w:tabs>
          <w:tab w:val="left" w:pos="900"/>
        </w:tabs>
        <w:ind w:left="900"/>
        <w:rPr>
          <w:bCs/>
        </w:rPr>
      </w:pPr>
      <w:r w:rsidRPr="00F02583">
        <w:rPr>
          <w:bCs/>
        </w:rPr>
        <w:t>The primary purpose of the PSM Standard is to prevent or minimize the unwanted release of hazardous chemicals, especially into locations that would expose personnel to serious hazards.</w:t>
      </w:r>
      <w:r>
        <w:rPr>
          <w:bCs/>
        </w:rPr>
        <w:t xml:space="preserve"> This section is an expansion of section 4.10 above.</w:t>
      </w:r>
    </w:p>
    <w:p w14:paraId="456CF1EB" w14:textId="77777777" w:rsidR="00F02583" w:rsidRDefault="00F02583" w:rsidP="00F02583">
      <w:pPr>
        <w:tabs>
          <w:tab w:val="left" w:pos="900"/>
        </w:tabs>
        <w:ind w:left="900"/>
        <w:rPr>
          <w:bCs/>
        </w:rPr>
      </w:pPr>
    </w:p>
    <w:p w14:paraId="52946FE5" w14:textId="7A40B8BA" w:rsidR="00F02583" w:rsidRDefault="00F02583" w:rsidP="00F02583">
      <w:pPr>
        <w:tabs>
          <w:tab w:val="left" w:pos="900"/>
        </w:tabs>
        <w:ind w:left="900"/>
        <w:rPr>
          <w:bCs/>
        </w:rPr>
      </w:pPr>
      <w:r w:rsidRPr="00F02583">
        <w:rPr>
          <w:bCs/>
        </w:rPr>
        <w:t xml:space="preserve">It is the company's intent to comply with all applicable regulations and to provide a workforce that is trained to safely perform their jobs with a full knowledge of the hazards and safe work practices associated with refining/chemical plant or other PSM regulated </w:t>
      </w:r>
      <w:r w:rsidRPr="00F02583">
        <w:rPr>
          <w:bCs/>
        </w:rPr>
        <w:lastRenderedPageBreak/>
        <w:t>industry work</w:t>
      </w:r>
      <w:r>
        <w:rPr>
          <w:bCs/>
        </w:rPr>
        <w:t xml:space="preserve"> job sites</w:t>
      </w:r>
      <w:r w:rsidRPr="00F02583">
        <w:rPr>
          <w:bCs/>
        </w:rPr>
        <w:t>. In accordance with the law, employees will receive initial and refresher training in the following:</w:t>
      </w:r>
    </w:p>
    <w:p w14:paraId="2D072D79" w14:textId="2422DFE5" w:rsidR="00F02583" w:rsidRPr="00F02583" w:rsidRDefault="00F02583" w:rsidP="00F02583">
      <w:pPr>
        <w:pStyle w:val="ListParagraph"/>
        <w:numPr>
          <w:ilvl w:val="0"/>
          <w:numId w:val="6"/>
        </w:numPr>
        <w:tabs>
          <w:tab w:val="left" w:pos="900"/>
        </w:tabs>
        <w:rPr>
          <w:bCs/>
        </w:rPr>
      </w:pPr>
      <w:r w:rsidRPr="00F02583">
        <w:rPr>
          <w:bCs/>
        </w:rPr>
        <w:t xml:space="preserve">An overview of the refinery/chemical plant/facility process and operating procedures for the process that employees will be working with or near, including the hazards of the chemicals used in the process.  This will include a complete review of the company </w:t>
      </w:r>
      <w:proofErr w:type="spellStart"/>
      <w:r w:rsidRPr="00F02583">
        <w:rPr>
          <w:bCs/>
        </w:rPr>
        <w:t>HazCom</w:t>
      </w:r>
      <w:proofErr w:type="spellEnd"/>
      <w:r w:rsidRPr="00F02583">
        <w:rPr>
          <w:bCs/>
        </w:rPr>
        <w:t xml:space="preserve"> Program and all SDSs that are provided for each unit where the employees will be working</w:t>
      </w:r>
      <w:r w:rsidR="00FD7280">
        <w:rPr>
          <w:bCs/>
        </w:rPr>
        <w:t xml:space="preserve"> per this </w:t>
      </w:r>
      <w:proofErr w:type="gramStart"/>
      <w:r w:rsidR="00FD7280">
        <w:rPr>
          <w:bCs/>
        </w:rPr>
        <w:t>policy</w:t>
      </w:r>
      <w:r w:rsidRPr="00F02583">
        <w:rPr>
          <w:bCs/>
        </w:rPr>
        <w:t>;</w:t>
      </w:r>
      <w:proofErr w:type="gramEnd"/>
    </w:p>
    <w:p w14:paraId="07684A9C" w14:textId="71DDF5B7" w:rsidR="00F02583" w:rsidRPr="00F02583" w:rsidRDefault="00F02583" w:rsidP="00F02583">
      <w:pPr>
        <w:pStyle w:val="ListParagraph"/>
        <w:numPr>
          <w:ilvl w:val="0"/>
          <w:numId w:val="6"/>
        </w:numPr>
        <w:tabs>
          <w:tab w:val="left" w:pos="900"/>
        </w:tabs>
        <w:rPr>
          <w:bCs/>
        </w:rPr>
      </w:pPr>
      <w:r w:rsidRPr="00F02583">
        <w:rPr>
          <w:bCs/>
        </w:rPr>
        <w:t>Specific safety and health hazards</w:t>
      </w:r>
      <w:r w:rsidR="00FD7280">
        <w:rPr>
          <w:bCs/>
        </w:rPr>
        <w:t xml:space="preserve"> including SP-07 site hazard </w:t>
      </w:r>
      <w:proofErr w:type="gramStart"/>
      <w:r w:rsidR="00FD7280">
        <w:rPr>
          <w:bCs/>
        </w:rPr>
        <w:t>assessment</w:t>
      </w:r>
      <w:r w:rsidRPr="00F02583">
        <w:rPr>
          <w:bCs/>
        </w:rPr>
        <w:t>;</w:t>
      </w:r>
      <w:proofErr w:type="gramEnd"/>
    </w:p>
    <w:p w14:paraId="4702F95F" w14:textId="2C23BEB3" w:rsidR="00F02583" w:rsidRPr="00F02583" w:rsidRDefault="00F02583" w:rsidP="00F02583">
      <w:pPr>
        <w:pStyle w:val="ListParagraph"/>
        <w:numPr>
          <w:ilvl w:val="0"/>
          <w:numId w:val="6"/>
        </w:numPr>
        <w:tabs>
          <w:tab w:val="left" w:pos="900"/>
        </w:tabs>
        <w:rPr>
          <w:bCs/>
        </w:rPr>
      </w:pPr>
      <w:r w:rsidRPr="00F02583">
        <w:rPr>
          <w:bCs/>
        </w:rPr>
        <w:t xml:space="preserve">Procedures and safe work practices applicable to the employee's job tasks, including personal protective equipment, permits (confined space, hot work and general safe permits, job hazard analysis and </w:t>
      </w:r>
      <w:proofErr w:type="gramStart"/>
      <w:r w:rsidRPr="00F02583">
        <w:rPr>
          <w:bCs/>
        </w:rPr>
        <w:t>auditing;</w:t>
      </w:r>
      <w:proofErr w:type="gramEnd"/>
    </w:p>
    <w:p w14:paraId="58257BEA" w14:textId="2AB46DCA" w:rsidR="00F02583" w:rsidRPr="00F02583" w:rsidRDefault="00F02583" w:rsidP="00F02583">
      <w:pPr>
        <w:pStyle w:val="ListParagraph"/>
        <w:numPr>
          <w:ilvl w:val="0"/>
          <w:numId w:val="6"/>
        </w:numPr>
        <w:tabs>
          <w:tab w:val="left" w:pos="900"/>
        </w:tabs>
        <w:rPr>
          <w:bCs/>
        </w:rPr>
      </w:pPr>
      <w:r w:rsidRPr="00F02583">
        <w:rPr>
          <w:bCs/>
        </w:rPr>
        <w:t>Incident investigations are required for all incidents.  When an incident occurs, an investigation will be immediately implemented, but not longer than 24 hours after the incident</w:t>
      </w:r>
      <w:r w:rsidR="00FD7280">
        <w:rPr>
          <w:bCs/>
        </w:rPr>
        <w:t xml:space="preserve"> and must be reported immediately – same shift</w:t>
      </w:r>
      <w:r w:rsidRPr="00F02583">
        <w:rPr>
          <w:bCs/>
        </w:rPr>
        <w:t>.  Causal analysis and corrective actions will be documented and tracked for closure.  Those records will be kept for a minimum of 5 years.</w:t>
      </w:r>
    </w:p>
    <w:p w14:paraId="310FA802" w14:textId="11E805A9" w:rsidR="00F02583" w:rsidRPr="00F02583" w:rsidRDefault="00F02583" w:rsidP="00F02583">
      <w:pPr>
        <w:pStyle w:val="ListParagraph"/>
        <w:numPr>
          <w:ilvl w:val="0"/>
          <w:numId w:val="6"/>
        </w:numPr>
        <w:tabs>
          <w:tab w:val="left" w:pos="900"/>
        </w:tabs>
        <w:rPr>
          <w:bCs/>
        </w:rPr>
      </w:pPr>
      <w:r w:rsidRPr="00F02583">
        <w:rPr>
          <w:bCs/>
        </w:rPr>
        <w:t>The site-specific Emergency Action Plan.</w:t>
      </w:r>
    </w:p>
    <w:p w14:paraId="40AD3310" w14:textId="77777777" w:rsidR="00F02583" w:rsidRPr="00F02583" w:rsidRDefault="00F02583" w:rsidP="00F02583">
      <w:pPr>
        <w:tabs>
          <w:tab w:val="left" w:pos="900"/>
        </w:tabs>
        <w:ind w:left="1440"/>
        <w:rPr>
          <w:bCs/>
        </w:rPr>
      </w:pPr>
    </w:p>
    <w:p w14:paraId="4F8CBA96" w14:textId="77777777" w:rsidR="00F02583" w:rsidRPr="00F02583" w:rsidRDefault="00F02583" w:rsidP="00F02583">
      <w:pPr>
        <w:tabs>
          <w:tab w:val="left" w:pos="900"/>
        </w:tabs>
        <w:ind w:left="1440"/>
        <w:rPr>
          <w:bCs/>
        </w:rPr>
      </w:pPr>
      <w:r w:rsidRPr="00F02583">
        <w:rPr>
          <w:bCs/>
        </w:rPr>
        <w:t xml:space="preserve">Employees shall comply with established procedures and safe work practices, be on the alert for changing conditions and quickly report any accidental release or potential release of hazardous chemicals to a supervisor. </w:t>
      </w:r>
    </w:p>
    <w:p w14:paraId="64DEFB29" w14:textId="77777777" w:rsidR="00F02583" w:rsidRPr="00F02583" w:rsidRDefault="00F02583" w:rsidP="00F02583">
      <w:pPr>
        <w:tabs>
          <w:tab w:val="left" w:pos="900"/>
        </w:tabs>
        <w:ind w:left="1440"/>
        <w:rPr>
          <w:bCs/>
        </w:rPr>
      </w:pPr>
    </w:p>
    <w:p w14:paraId="59563899" w14:textId="77777777" w:rsidR="00F02583" w:rsidRPr="00F02583" w:rsidRDefault="00F02583" w:rsidP="00F02583">
      <w:pPr>
        <w:tabs>
          <w:tab w:val="left" w:pos="900"/>
        </w:tabs>
        <w:ind w:left="1440"/>
        <w:rPr>
          <w:bCs/>
        </w:rPr>
      </w:pPr>
      <w:r w:rsidRPr="00F02583">
        <w:rPr>
          <w:bCs/>
        </w:rPr>
        <w:t>The company will promptly investigate every incident that results in, or could have resulted in, a dangerous release of a hazardous chemical.</w:t>
      </w:r>
    </w:p>
    <w:p w14:paraId="5BC62437" w14:textId="77777777" w:rsidR="00F02583" w:rsidRPr="00F02583" w:rsidRDefault="00F02583" w:rsidP="00F02583">
      <w:pPr>
        <w:tabs>
          <w:tab w:val="left" w:pos="900"/>
        </w:tabs>
        <w:ind w:left="1440"/>
        <w:rPr>
          <w:bCs/>
        </w:rPr>
      </w:pPr>
    </w:p>
    <w:p w14:paraId="5B683BA1" w14:textId="0EA093F8" w:rsidR="00F02583" w:rsidRPr="00F02583" w:rsidRDefault="00F02583" w:rsidP="00F02583">
      <w:pPr>
        <w:tabs>
          <w:tab w:val="left" w:pos="900"/>
        </w:tabs>
        <w:ind w:left="1440"/>
        <w:rPr>
          <w:bCs/>
        </w:rPr>
      </w:pPr>
      <w:r w:rsidRPr="00F02583">
        <w:rPr>
          <w:bCs/>
        </w:rPr>
        <w:t xml:space="preserve">All employees will attend the </w:t>
      </w:r>
      <w:r w:rsidR="00FD7280">
        <w:rPr>
          <w:bCs/>
        </w:rPr>
        <w:t>customer’s</w:t>
      </w:r>
      <w:r w:rsidRPr="00F02583">
        <w:rPr>
          <w:bCs/>
        </w:rPr>
        <w:t xml:space="preserve"> (refinery/chemical plant/facility) process overview and any site-specific training during the refinery/chemical plant/facility orientation, including the process overview and Emergency Action Plan. Attached is a summary of applicable information taken from the PSM standard.</w:t>
      </w:r>
    </w:p>
    <w:p w14:paraId="48C46DAC" w14:textId="77777777" w:rsidR="00F02583" w:rsidRPr="00F02583" w:rsidRDefault="00F02583" w:rsidP="00F02583">
      <w:pPr>
        <w:tabs>
          <w:tab w:val="left" w:pos="900"/>
        </w:tabs>
        <w:ind w:left="1440"/>
        <w:rPr>
          <w:bCs/>
        </w:rPr>
      </w:pPr>
    </w:p>
    <w:p w14:paraId="43FFE3AE" w14:textId="77777777" w:rsidR="00F02583" w:rsidRPr="00F02583" w:rsidRDefault="00F02583" w:rsidP="00F02583">
      <w:pPr>
        <w:tabs>
          <w:tab w:val="left" w:pos="900"/>
        </w:tabs>
        <w:ind w:left="1440"/>
        <w:rPr>
          <w:bCs/>
        </w:rPr>
      </w:pPr>
      <w:r w:rsidRPr="00F02583">
        <w:rPr>
          <w:bCs/>
        </w:rPr>
        <w:t>Process Safety Management of Acutely Hazardous Materials</w:t>
      </w:r>
    </w:p>
    <w:p w14:paraId="4ACE5058" w14:textId="77777777" w:rsidR="00F02583" w:rsidRPr="00F02583" w:rsidRDefault="00F02583" w:rsidP="00F02583">
      <w:pPr>
        <w:tabs>
          <w:tab w:val="left" w:pos="900"/>
        </w:tabs>
        <w:ind w:left="1440"/>
        <w:rPr>
          <w:bCs/>
        </w:rPr>
      </w:pPr>
    </w:p>
    <w:p w14:paraId="1FFBA664" w14:textId="67ED1A68" w:rsidR="00F02583" w:rsidRDefault="00F02583" w:rsidP="00F02583">
      <w:pPr>
        <w:tabs>
          <w:tab w:val="left" w:pos="900"/>
        </w:tabs>
        <w:ind w:left="1440"/>
        <w:rPr>
          <w:bCs/>
        </w:rPr>
      </w:pPr>
      <w:r w:rsidRPr="00F02583">
        <w:rPr>
          <w:bCs/>
        </w:rPr>
        <w:t xml:space="preserve">These regulations contain requirements for preventing or minimizing the consequences of catastrophic releases of toxic, reactive, </w:t>
      </w:r>
      <w:proofErr w:type="gramStart"/>
      <w:r w:rsidRPr="00F02583">
        <w:rPr>
          <w:bCs/>
        </w:rPr>
        <w:t>flammable</w:t>
      </w:r>
      <w:proofErr w:type="gramEnd"/>
      <w:r w:rsidRPr="00F02583">
        <w:rPr>
          <w:bCs/>
        </w:rPr>
        <w:t xml:space="preserve"> or explosive chemicals. These regulations are intended to eliminate to a substantial degree, the risks to which employees are exposed in petroleum refineries and chemical plants.</w:t>
      </w:r>
    </w:p>
    <w:p w14:paraId="412CC9B6" w14:textId="77777777" w:rsidR="00F02583" w:rsidRPr="00F02583" w:rsidRDefault="00F02583" w:rsidP="00F02583">
      <w:pPr>
        <w:tabs>
          <w:tab w:val="left" w:pos="900"/>
        </w:tabs>
        <w:ind w:left="900"/>
        <w:rPr>
          <w:bCs/>
        </w:rPr>
      </w:pPr>
    </w:p>
    <w:p w14:paraId="5A12CB5E" w14:textId="38A5BB30" w:rsidR="00F02583" w:rsidRDefault="00FD7280" w:rsidP="00FD7280">
      <w:pPr>
        <w:numPr>
          <w:ilvl w:val="2"/>
          <w:numId w:val="1"/>
        </w:numPr>
        <w:tabs>
          <w:tab w:val="clear" w:pos="1440"/>
          <w:tab w:val="num" w:pos="1890"/>
        </w:tabs>
        <w:ind w:left="1710" w:hanging="810"/>
        <w:rPr>
          <w:bCs/>
        </w:rPr>
      </w:pPr>
      <w:r>
        <w:rPr>
          <w:bCs/>
        </w:rPr>
        <w:t>The client shall develop and share with GDI steps for each operating phase, operating limits, and safety and health considerations for work that could result, or bring within contact with areas that could, in a release of toxic, reactive, flammable , or explosive chemicals.</w:t>
      </w:r>
    </w:p>
    <w:p w14:paraId="490AF3FB" w14:textId="5E3944E9" w:rsidR="00FD7280" w:rsidRDefault="00FD7280" w:rsidP="00FD7280">
      <w:pPr>
        <w:numPr>
          <w:ilvl w:val="2"/>
          <w:numId w:val="1"/>
        </w:numPr>
        <w:tabs>
          <w:tab w:val="clear" w:pos="1440"/>
          <w:tab w:val="num" w:pos="1890"/>
        </w:tabs>
        <w:ind w:left="1710" w:hanging="810"/>
        <w:rPr>
          <w:bCs/>
        </w:rPr>
      </w:pPr>
      <w:r>
        <w:rPr>
          <w:bCs/>
        </w:rPr>
        <w:lastRenderedPageBreak/>
        <w:t>GDI will comply with the client to follow all safe work practices to provide for the control of hazards during operations. If there is a conflict between GDI policy and client policy the most stringent policy shall be adopted.</w:t>
      </w:r>
    </w:p>
    <w:p w14:paraId="56158811" w14:textId="678D4894" w:rsidR="00FD7280" w:rsidRDefault="00FD7280" w:rsidP="00FD7280">
      <w:pPr>
        <w:numPr>
          <w:ilvl w:val="2"/>
          <w:numId w:val="1"/>
        </w:numPr>
        <w:tabs>
          <w:tab w:val="clear" w:pos="1440"/>
          <w:tab w:val="num" w:pos="1890"/>
        </w:tabs>
        <w:ind w:left="1710" w:hanging="810"/>
        <w:rPr>
          <w:bCs/>
        </w:rPr>
      </w:pPr>
      <w:r>
        <w:rPr>
          <w:bCs/>
        </w:rPr>
        <w:t xml:space="preserve">Training – all employees </w:t>
      </w:r>
      <w:r w:rsidRPr="00FD7280">
        <w:rPr>
          <w:bCs/>
        </w:rPr>
        <w:t xml:space="preserve">presently involved in operating or maintaining a process, and each employee before working in a newly assigned process, shall be trained in an overview of the process and in the operating procedures. The training shall include emphasis on the specific safety and health hazards, </w:t>
      </w:r>
      <w:r w:rsidRPr="00FD7280">
        <w:rPr>
          <w:bCs/>
        </w:rPr>
        <w:t>procedures,</w:t>
      </w:r>
      <w:r w:rsidRPr="00FD7280">
        <w:rPr>
          <w:bCs/>
        </w:rPr>
        <w:t xml:space="preserve"> and safe practices applicable to the employee's job tasks.</w:t>
      </w:r>
    </w:p>
    <w:p w14:paraId="3226458F" w14:textId="52EAFB9C" w:rsidR="00FD7280" w:rsidRDefault="00FD7280" w:rsidP="00FD7280">
      <w:pPr>
        <w:ind w:left="1710"/>
        <w:rPr>
          <w:bCs/>
        </w:rPr>
      </w:pPr>
    </w:p>
    <w:p w14:paraId="1BC368EA" w14:textId="0965C569" w:rsidR="00FD7280" w:rsidRDefault="00FD7280" w:rsidP="00FD7280">
      <w:pPr>
        <w:ind w:left="1710"/>
        <w:rPr>
          <w:bCs/>
        </w:rPr>
      </w:pPr>
      <w:r>
        <w:rPr>
          <w:bCs/>
        </w:rPr>
        <w:t xml:space="preserve">Refresher training shall be conducted at a minimum of a 3-year interval and whenever a significant change to the written procedures, process, or environment has been made. </w:t>
      </w:r>
    </w:p>
    <w:p w14:paraId="2923E71E" w14:textId="616624B7" w:rsidR="00FD7280" w:rsidRDefault="00FD7280" w:rsidP="00FD7280">
      <w:pPr>
        <w:ind w:left="1710"/>
        <w:rPr>
          <w:bCs/>
        </w:rPr>
      </w:pPr>
    </w:p>
    <w:p w14:paraId="269B70E0" w14:textId="5B1FE9EB" w:rsidR="00FD7280" w:rsidRDefault="00FD7280" w:rsidP="00FD7280">
      <w:pPr>
        <w:ind w:left="1710"/>
        <w:rPr>
          <w:bCs/>
        </w:rPr>
      </w:pPr>
      <w:r>
        <w:rPr>
          <w:bCs/>
        </w:rPr>
        <w:t xml:space="preserve">Training shall be documented within GDI’s documentation system and communicated to the client. </w:t>
      </w:r>
    </w:p>
    <w:p w14:paraId="725DBB3A" w14:textId="10E49EA1" w:rsidR="00FD7280" w:rsidRDefault="00FD7280" w:rsidP="00FD7280">
      <w:pPr>
        <w:ind w:left="1710"/>
        <w:rPr>
          <w:bCs/>
        </w:rPr>
      </w:pPr>
    </w:p>
    <w:p w14:paraId="2DA63206" w14:textId="3A7602D0" w:rsidR="00FD7280" w:rsidRDefault="00FD7280" w:rsidP="00FD7280">
      <w:pPr>
        <w:ind w:left="1710"/>
        <w:rPr>
          <w:bCs/>
        </w:rPr>
      </w:pPr>
      <w:r>
        <w:rPr>
          <w:bCs/>
        </w:rPr>
        <w:t xml:space="preserve">GDI contractors are subject to the same policies as GDI employees with not exceptions. </w:t>
      </w:r>
    </w:p>
    <w:p w14:paraId="6982EFA3" w14:textId="2F02E0ED" w:rsidR="00FD7280" w:rsidRDefault="00706198" w:rsidP="00706198">
      <w:pPr>
        <w:numPr>
          <w:ilvl w:val="2"/>
          <w:numId w:val="1"/>
        </w:numPr>
        <w:tabs>
          <w:tab w:val="clear" w:pos="1440"/>
          <w:tab w:val="num" w:pos="1890"/>
        </w:tabs>
        <w:ind w:left="1710" w:hanging="810"/>
        <w:rPr>
          <w:bCs/>
        </w:rPr>
      </w:pPr>
      <w:r>
        <w:rPr>
          <w:bCs/>
        </w:rPr>
        <w:t>Management of Change (MOC)</w:t>
      </w:r>
    </w:p>
    <w:p w14:paraId="7CD6541A" w14:textId="2A23904D" w:rsidR="00706198" w:rsidRPr="00706198" w:rsidRDefault="00706198" w:rsidP="00706198">
      <w:pPr>
        <w:ind w:left="1710"/>
        <w:rPr>
          <w:bCs/>
        </w:rPr>
      </w:pPr>
      <w:r>
        <w:rPr>
          <w:bCs/>
        </w:rPr>
        <w:t>Our client</w:t>
      </w:r>
      <w:r w:rsidRPr="00706198">
        <w:rPr>
          <w:bCs/>
        </w:rPr>
        <w:t xml:space="preserve"> (refinery/chemical plant/facility) that is covered by the standard will typically handle all MOC situations, but we need to be aware of the program and be mindful that if we get involved with any changes, the necessary steps will need to take place.  The company will establish and implement written procedures to manage changes (except for "replacements in kind") to process chemicals, technology, equipment, and procedures; </w:t>
      </w:r>
      <w:proofErr w:type="gramStart"/>
      <w:r w:rsidRPr="00706198">
        <w:rPr>
          <w:bCs/>
        </w:rPr>
        <w:t>and,</w:t>
      </w:r>
      <w:proofErr w:type="gramEnd"/>
      <w:r w:rsidRPr="00706198">
        <w:rPr>
          <w:bCs/>
        </w:rPr>
        <w:t xml:space="preserve"> changes to facilities that affect a covered process. </w:t>
      </w:r>
    </w:p>
    <w:p w14:paraId="45655917" w14:textId="77777777" w:rsidR="00706198" w:rsidRPr="00706198" w:rsidRDefault="00706198" w:rsidP="00706198">
      <w:pPr>
        <w:ind w:left="1710"/>
        <w:rPr>
          <w:bCs/>
        </w:rPr>
      </w:pPr>
    </w:p>
    <w:p w14:paraId="5C1793B5" w14:textId="77777777" w:rsidR="00706198" w:rsidRPr="00706198" w:rsidRDefault="00706198" w:rsidP="00706198">
      <w:pPr>
        <w:ind w:left="1710"/>
        <w:rPr>
          <w:bCs/>
        </w:rPr>
      </w:pPr>
      <w:r w:rsidRPr="00706198">
        <w:rPr>
          <w:bCs/>
        </w:rPr>
        <w:t>Prior to the change, address the following considerations:</w:t>
      </w:r>
    </w:p>
    <w:p w14:paraId="0F8A641E" w14:textId="77777777" w:rsidR="00706198" w:rsidRPr="00706198" w:rsidRDefault="00706198" w:rsidP="00706198">
      <w:pPr>
        <w:ind w:left="1710"/>
        <w:rPr>
          <w:bCs/>
        </w:rPr>
      </w:pPr>
      <w:r w:rsidRPr="00706198">
        <w:rPr>
          <w:bCs/>
        </w:rPr>
        <w:t>•</w:t>
      </w:r>
      <w:r w:rsidRPr="00706198">
        <w:rPr>
          <w:bCs/>
        </w:rPr>
        <w:tab/>
        <w:t xml:space="preserve">The technical basis for the proposed </w:t>
      </w:r>
      <w:proofErr w:type="gramStart"/>
      <w:r w:rsidRPr="00706198">
        <w:rPr>
          <w:bCs/>
        </w:rPr>
        <w:t>change;</w:t>
      </w:r>
      <w:proofErr w:type="gramEnd"/>
      <w:r w:rsidRPr="00706198">
        <w:rPr>
          <w:bCs/>
        </w:rPr>
        <w:t xml:space="preserve"> </w:t>
      </w:r>
    </w:p>
    <w:p w14:paraId="4B2F92D0" w14:textId="77777777" w:rsidR="00706198" w:rsidRPr="00706198" w:rsidRDefault="00706198" w:rsidP="00706198">
      <w:pPr>
        <w:ind w:left="1710"/>
        <w:rPr>
          <w:bCs/>
        </w:rPr>
      </w:pPr>
      <w:r w:rsidRPr="00706198">
        <w:rPr>
          <w:bCs/>
        </w:rPr>
        <w:t>•</w:t>
      </w:r>
      <w:r w:rsidRPr="00706198">
        <w:rPr>
          <w:bCs/>
        </w:rPr>
        <w:tab/>
        <w:t xml:space="preserve">Impact of change on safety and </w:t>
      </w:r>
      <w:proofErr w:type="gramStart"/>
      <w:r w:rsidRPr="00706198">
        <w:rPr>
          <w:bCs/>
        </w:rPr>
        <w:t>health;</w:t>
      </w:r>
      <w:proofErr w:type="gramEnd"/>
      <w:r w:rsidRPr="00706198">
        <w:rPr>
          <w:bCs/>
        </w:rPr>
        <w:t xml:space="preserve"> </w:t>
      </w:r>
    </w:p>
    <w:p w14:paraId="7B200D13" w14:textId="77777777" w:rsidR="00706198" w:rsidRPr="00706198" w:rsidRDefault="00706198" w:rsidP="00706198">
      <w:pPr>
        <w:ind w:left="1710"/>
        <w:rPr>
          <w:bCs/>
        </w:rPr>
      </w:pPr>
      <w:r w:rsidRPr="00706198">
        <w:rPr>
          <w:bCs/>
        </w:rPr>
        <w:t>•</w:t>
      </w:r>
      <w:r w:rsidRPr="00706198">
        <w:rPr>
          <w:bCs/>
        </w:rPr>
        <w:tab/>
        <w:t xml:space="preserve">Modifications to operating </w:t>
      </w:r>
      <w:proofErr w:type="gramStart"/>
      <w:r w:rsidRPr="00706198">
        <w:rPr>
          <w:bCs/>
        </w:rPr>
        <w:t>procedures;</w:t>
      </w:r>
      <w:proofErr w:type="gramEnd"/>
      <w:r w:rsidRPr="00706198">
        <w:rPr>
          <w:bCs/>
        </w:rPr>
        <w:t xml:space="preserve"> </w:t>
      </w:r>
    </w:p>
    <w:p w14:paraId="17A2981A" w14:textId="77777777" w:rsidR="00706198" w:rsidRPr="00706198" w:rsidRDefault="00706198" w:rsidP="00706198">
      <w:pPr>
        <w:ind w:left="1710"/>
        <w:rPr>
          <w:bCs/>
        </w:rPr>
      </w:pPr>
      <w:r w:rsidRPr="00706198">
        <w:rPr>
          <w:bCs/>
        </w:rPr>
        <w:t>•</w:t>
      </w:r>
      <w:r w:rsidRPr="00706198">
        <w:rPr>
          <w:bCs/>
        </w:rPr>
        <w:tab/>
        <w:t xml:space="preserve">Necessary </w:t>
      </w:r>
      <w:proofErr w:type="gramStart"/>
      <w:r w:rsidRPr="00706198">
        <w:rPr>
          <w:bCs/>
        </w:rPr>
        <w:t>time period</w:t>
      </w:r>
      <w:proofErr w:type="gramEnd"/>
      <w:r w:rsidRPr="00706198">
        <w:rPr>
          <w:bCs/>
        </w:rPr>
        <w:t xml:space="preserve"> for the change; and, </w:t>
      </w:r>
    </w:p>
    <w:p w14:paraId="53B1DD35" w14:textId="77777777" w:rsidR="00706198" w:rsidRPr="00706198" w:rsidRDefault="00706198" w:rsidP="00706198">
      <w:pPr>
        <w:ind w:left="1710"/>
        <w:rPr>
          <w:bCs/>
        </w:rPr>
      </w:pPr>
      <w:r w:rsidRPr="00706198">
        <w:rPr>
          <w:bCs/>
        </w:rPr>
        <w:t>•</w:t>
      </w:r>
      <w:r w:rsidRPr="00706198">
        <w:rPr>
          <w:bCs/>
        </w:rPr>
        <w:tab/>
        <w:t xml:space="preserve">Authorization requirements for the proposed change. </w:t>
      </w:r>
    </w:p>
    <w:p w14:paraId="69802A32" w14:textId="77777777" w:rsidR="00706198" w:rsidRPr="00706198" w:rsidRDefault="00706198" w:rsidP="00706198">
      <w:pPr>
        <w:ind w:left="1710"/>
        <w:rPr>
          <w:bCs/>
        </w:rPr>
      </w:pPr>
    </w:p>
    <w:p w14:paraId="1C7BB3F9" w14:textId="74DFA83D" w:rsidR="00706198" w:rsidRDefault="00706198" w:rsidP="00706198">
      <w:pPr>
        <w:ind w:left="1710"/>
        <w:rPr>
          <w:bCs/>
        </w:rPr>
      </w:pPr>
      <w:r w:rsidRPr="00706198">
        <w:rPr>
          <w:bCs/>
        </w:rPr>
        <w:t>The Company will train affected employees and contract employees in the change prior to start-up of the process or affected part of the process.</w:t>
      </w:r>
    </w:p>
    <w:p w14:paraId="179074B9" w14:textId="3163B383" w:rsidR="00706198" w:rsidRDefault="00706198" w:rsidP="00706198">
      <w:pPr>
        <w:ind w:left="1710"/>
        <w:rPr>
          <w:bCs/>
        </w:rPr>
      </w:pPr>
    </w:p>
    <w:p w14:paraId="58EA84C0" w14:textId="37F3A3A0" w:rsidR="00706198" w:rsidRDefault="00706198" w:rsidP="00706198">
      <w:pPr>
        <w:ind w:left="1710"/>
        <w:rPr>
          <w:bCs/>
        </w:rPr>
      </w:pPr>
    </w:p>
    <w:p w14:paraId="18D8FDDB" w14:textId="578F6E09" w:rsidR="00706198" w:rsidRDefault="00706198" w:rsidP="00706198">
      <w:pPr>
        <w:ind w:left="1710"/>
        <w:rPr>
          <w:bCs/>
        </w:rPr>
      </w:pPr>
    </w:p>
    <w:p w14:paraId="347D20F1" w14:textId="3F6596F1" w:rsidR="00706198" w:rsidRDefault="00706198" w:rsidP="00706198">
      <w:pPr>
        <w:ind w:left="1710"/>
        <w:rPr>
          <w:bCs/>
        </w:rPr>
      </w:pPr>
    </w:p>
    <w:p w14:paraId="375C69C7" w14:textId="6F52C30B" w:rsidR="00706198" w:rsidRDefault="00706198" w:rsidP="00706198">
      <w:pPr>
        <w:ind w:left="1710"/>
        <w:rPr>
          <w:bCs/>
        </w:rPr>
      </w:pPr>
    </w:p>
    <w:p w14:paraId="55116F56" w14:textId="77777777" w:rsidR="00706198" w:rsidRDefault="00706198" w:rsidP="00706198">
      <w:pPr>
        <w:ind w:left="1710"/>
        <w:rPr>
          <w:bCs/>
        </w:rPr>
      </w:pPr>
    </w:p>
    <w:p w14:paraId="2AF8DABB" w14:textId="77777777" w:rsidR="00706198" w:rsidRDefault="00706198" w:rsidP="00706198">
      <w:pPr>
        <w:ind w:left="1710"/>
        <w:rPr>
          <w:bCs/>
        </w:rPr>
      </w:pPr>
    </w:p>
    <w:p w14:paraId="77EEC97D" w14:textId="167DF8A5" w:rsidR="00CA25ED" w:rsidRPr="00582660" w:rsidRDefault="00582660" w:rsidP="00CA25ED">
      <w:pPr>
        <w:numPr>
          <w:ilvl w:val="0"/>
          <w:numId w:val="1"/>
        </w:numPr>
        <w:rPr>
          <w:b/>
        </w:rPr>
      </w:pPr>
      <w:r w:rsidRPr="00582660">
        <w:rPr>
          <w:b/>
        </w:rPr>
        <w:lastRenderedPageBreak/>
        <w:t>Compliance</w:t>
      </w:r>
    </w:p>
    <w:p w14:paraId="1EB4C1E3" w14:textId="77777777" w:rsidR="00582660" w:rsidRDefault="000B73BD" w:rsidP="00582660">
      <w:pPr>
        <w:ind w:left="360"/>
      </w:pPr>
      <w:r w:rsidRPr="000B73BD">
        <w:rPr>
          <w:b/>
        </w:rPr>
        <w:t>ALL</w:t>
      </w:r>
      <w:r w:rsidR="00582660">
        <w:t xml:space="preserve"> employees of </w:t>
      </w:r>
      <w:r w:rsidR="00601161">
        <w:t xml:space="preserve">GDI </w:t>
      </w:r>
      <w:r w:rsidR="00582660">
        <w:t>are required to comply with this and all company and regulatory safety rules, policies</w:t>
      </w:r>
      <w:r>
        <w:t>,</w:t>
      </w:r>
      <w:r w:rsidR="00582660">
        <w:t xml:space="preserve"> and laws.  Failure to do so will result in immediate disciplinary action that can lead up to and include termination.  Safety is a priority at </w:t>
      </w:r>
      <w:r w:rsidR="00797ABA">
        <w:t>GDI</w:t>
      </w:r>
      <w:r w:rsidR="00582660">
        <w:t xml:space="preserve"> and is each employee’s duty and responsibility to do their part to help ensure a safe work environment.</w:t>
      </w:r>
    </w:p>
    <w:p w14:paraId="177EF683" w14:textId="77777777" w:rsidR="00582660" w:rsidRDefault="00582660" w:rsidP="00582660">
      <w:pPr>
        <w:ind w:left="360"/>
      </w:pPr>
    </w:p>
    <w:p w14:paraId="7CC3B948" w14:textId="77777777" w:rsidR="00582660" w:rsidRPr="00582660" w:rsidRDefault="00582660" w:rsidP="00582660">
      <w:pPr>
        <w:numPr>
          <w:ilvl w:val="0"/>
          <w:numId w:val="1"/>
        </w:numPr>
        <w:rPr>
          <w:b/>
        </w:rPr>
      </w:pPr>
      <w:r w:rsidRPr="00582660">
        <w:rPr>
          <w:b/>
        </w:rPr>
        <w:t>Related Documents</w:t>
      </w:r>
    </w:p>
    <w:p w14:paraId="7BA7FA1C" w14:textId="77777777" w:rsidR="00582660" w:rsidRDefault="00582660" w:rsidP="00582660">
      <w:pPr>
        <w:numPr>
          <w:ilvl w:val="0"/>
          <w:numId w:val="5"/>
        </w:numPr>
      </w:pPr>
      <w:r>
        <w:t>SP-02 Safety Policies</w:t>
      </w:r>
    </w:p>
    <w:p w14:paraId="76330738" w14:textId="77777777" w:rsidR="000B73BD" w:rsidRDefault="00582660" w:rsidP="00582660">
      <w:pPr>
        <w:numPr>
          <w:ilvl w:val="0"/>
          <w:numId w:val="5"/>
        </w:numPr>
      </w:pPr>
      <w:r>
        <w:t>SP-06 Hazardous Material Designation List</w:t>
      </w:r>
    </w:p>
    <w:p w14:paraId="1EA8E3B6" w14:textId="77777777" w:rsidR="000B73BD" w:rsidRPr="0061332C" w:rsidRDefault="000B73BD" w:rsidP="000B73BD">
      <w:pPr>
        <w:pBdr>
          <w:bottom w:val="single" w:sz="6" w:space="1" w:color="auto"/>
        </w:pBdr>
        <w:suppressAutoHyphens/>
        <w:ind w:left="-90"/>
        <w:jc w:val="center"/>
        <w:rPr>
          <w:sz w:val="48"/>
          <w:szCs w:val="48"/>
        </w:rPr>
      </w:pPr>
      <w:r>
        <w:br w:type="page"/>
      </w:r>
      <w:r w:rsidR="004F3EF6">
        <w:rPr>
          <w:sz w:val="48"/>
          <w:szCs w:val="48"/>
        </w:rPr>
        <w:lastRenderedPageBreak/>
        <w:t xml:space="preserve">~ </w:t>
      </w:r>
      <w:r w:rsidRPr="0061332C">
        <w:rPr>
          <w:sz w:val="48"/>
          <w:szCs w:val="48"/>
        </w:rPr>
        <w:t>SDS Audit Log ~</w:t>
      </w:r>
    </w:p>
    <w:p w14:paraId="5034740A" w14:textId="77777777" w:rsidR="000B73BD" w:rsidRPr="0061332C" w:rsidRDefault="004F3EF6" w:rsidP="000B73BD">
      <w:pPr>
        <w:tabs>
          <w:tab w:val="left" w:pos="720"/>
        </w:tabs>
        <w:suppressAutoHyphens/>
        <w:ind w:left="-90"/>
        <w:jc w:val="center"/>
      </w:pPr>
      <w:r>
        <w:t xml:space="preserve">***place this page in front of </w:t>
      </w:r>
      <w:r w:rsidR="000B73BD" w:rsidRPr="0061332C">
        <w:t>SDS book***</w:t>
      </w:r>
    </w:p>
    <w:p w14:paraId="075482F2" w14:textId="77777777" w:rsidR="000B73BD" w:rsidRPr="0061332C" w:rsidRDefault="000B73BD" w:rsidP="000B73BD">
      <w:pPr>
        <w:tabs>
          <w:tab w:val="left" w:pos="720"/>
        </w:tabs>
        <w:suppressAutoHyphens/>
        <w:ind w:left="-90"/>
      </w:pPr>
    </w:p>
    <w:p w14:paraId="50303330" w14:textId="77777777" w:rsidR="000B73BD" w:rsidRPr="0061332C" w:rsidRDefault="000B73BD" w:rsidP="000B73BD">
      <w:pPr>
        <w:tabs>
          <w:tab w:val="left" w:pos="720"/>
        </w:tabs>
        <w:suppressAutoHyphens/>
        <w:ind w:left="-90"/>
      </w:pPr>
    </w:p>
    <w:p w14:paraId="642897E5" w14:textId="77777777" w:rsidR="000B73BD" w:rsidRPr="0061332C" w:rsidRDefault="000B73BD" w:rsidP="000B73BD">
      <w:pPr>
        <w:tabs>
          <w:tab w:val="left" w:pos="720"/>
        </w:tabs>
        <w:suppressAutoHyphens/>
        <w:ind w:left="-90"/>
      </w:pPr>
      <w:r w:rsidRPr="0061332C">
        <w:t>Base</w:t>
      </w:r>
      <w:r>
        <w:t>d on compliance with section 4.3</w:t>
      </w:r>
      <w:r w:rsidRPr="0061332C">
        <w:t xml:space="preserve">.5 of </w:t>
      </w:r>
      <w:r w:rsidR="00797ABA">
        <w:t>GDI</w:t>
      </w:r>
      <w:r w:rsidRPr="0061332C">
        <w:t>’s Hazard C</w:t>
      </w:r>
      <w:r w:rsidR="007E71B2">
        <w:t xml:space="preserve">ommunication Policy SP-05 this </w:t>
      </w:r>
      <w:r w:rsidRPr="0061332C">
        <w:t>SDS</w:t>
      </w:r>
      <w:r w:rsidR="007E71B2">
        <w:t xml:space="preserve"> book has been audited and all </w:t>
      </w:r>
      <w:r w:rsidRPr="0061332C">
        <w:t>SDS have been verified to be the most current revisions for the products identified.</w:t>
      </w:r>
    </w:p>
    <w:p w14:paraId="045815C5" w14:textId="77777777" w:rsidR="000B73BD" w:rsidRPr="0061332C" w:rsidRDefault="000B73BD" w:rsidP="000B73BD">
      <w:pPr>
        <w:tabs>
          <w:tab w:val="left" w:pos="720"/>
        </w:tabs>
        <w:suppressAutoHyphens/>
        <w:ind w:left="-90"/>
      </w:pPr>
    </w:p>
    <w:p w14:paraId="4247D76B" w14:textId="77777777" w:rsidR="000B73BD" w:rsidRDefault="000B73BD" w:rsidP="000B73BD">
      <w:pPr>
        <w:tabs>
          <w:tab w:val="left" w:pos="720"/>
        </w:tabs>
        <w:suppressAutoHyphens/>
        <w:ind w:left="-90"/>
      </w:pPr>
      <w:proofErr w:type="gramStart"/>
      <w:r w:rsidRPr="0061332C">
        <w:t>So</w:t>
      </w:r>
      <w:proofErr w:type="gramEnd"/>
      <w:r w:rsidRPr="0061332C">
        <w:t xml:space="preserve"> verified by:</w:t>
      </w:r>
    </w:p>
    <w:p w14:paraId="59200E31" w14:textId="77777777" w:rsidR="000B73BD" w:rsidRPr="0061332C" w:rsidRDefault="000B73BD" w:rsidP="000B73BD">
      <w:pPr>
        <w:tabs>
          <w:tab w:val="left" w:pos="720"/>
        </w:tabs>
        <w:suppressAutoHyphens/>
        <w:ind w:left="-90"/>
      </w:pPr>
    </w:p>
    <w:tbl>
      <w:tblPr>
        <w:tblW w:w="0" w:type="auto"/>
        <w:tblInd w:w="2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3517"/>
      </w:tblGrid>
      <w:tr w:rsidR="000B73BD" w:rsidRPr="0061332C" w14:paraId="0C9A4CC4" w14:textId="77777777" w:rsidTr="00A97F3F">
        <w:tc>
          <w:tcPr>
            <w:tcW w:w="2423" w:type="dxa"/>
            <w:tcBorders>
              <w:top w:val="single" w:sz="18" w:space="0" w:color="auto"/>
              <w:left w:val="single" w:sz="18" w:space="0" w:color="auto"/>
              <w:bottom w:val="single" w:sz="18" w:space="0" w:color="auto"/>
              <w:right w:val="single" w:sz="18" w:space="0" w:color="auto"/>
            </w:tcBorders>
          </w:tcPr>
          <w:p w14:paraId="3DCD6456" w14:textId="77777777" w:rsidR="000B73BD" w:rsidRPr="00A97F3F" w:rsidRDefault="000B73BD" w:rsidP="00A97F3F">
            <w:pPr>
              <w:tabs>
                <w:tab w:val="left" w:pos="720"/>
              </w:tabs>
              <w:suppressAutoHyphens/>
              <w:ind w:left="-90"/>
              <w:jc w:val="center"/>
              <w:rPr>
                <w:b/>
              </w:rPr>
            </w:pPr>
            <w:r w:rsidRPr="00A97F3F">
              <w:rPr>
                <w:b/>
              </w:rPr>
              <w:t>DATE (mm/dd/</w:t>
            </w:r>
            <w:proofErr w:type="spellStart"/>
            <w:r w:rsidRPr="00A97F3F">
              <w:rPr>
                <w:b/>
              </w:rPr>
              <w:t>yyyy</w:t>
            </w:r>
            <w:proofErr w:type="spellEnd"/>
            <w:r w:rsidRPr="00A97F3F">
              <w:rPr>
                <w:b/>
              </w:rPr>
              <w:t>)</w:t>
            </w:r>
          </w:p>
        </w:tc>
        <w:tc>
          <w:tcPr>
            <w:tcW w:w="3517" w:type="dxa"/>
            <w:tcBorders>
              <w:top w:val="single" w:sz="18" w:space="0" w:color="auto"/>
              <w:left w:val="single" w:sz="18" w:space="0" w:color="auto"/>
              <w:bottom w:val="single" w:sz="18" w:space="0" w:color="auto"/>
              <w:right w:val="single" w:sz="18" w:space="0" w:color="auto"/>
            </w:tcBorders>
          </w:tcPr>
          <w:p w14:paraId="0B8F1EB9" w14:textId="77777777" w:rsidR="000B73BD" w:rsidRPr="00A97F3F" w:rsidRDefault="000B73BD" w:rsidP="00A97F3F">
            <w:pPr>
              <w:tabs>
                <w:tab w:val="left" w:pos="720"/>
              </w:tabs>
              <w:suppressAutoHyphens/>
              <w:ind w:left="-90"/>
              <w:jc w:val="center"/>
              <w:rPr>
                <w:b/>
              </w:rPr>
            </w:pPr>
            <w:r w:rsidRPr="00A97F3F">
              <w:rPr>
                <w:b/>
              </w:rPr>
              <w:t>VERIFICATION BY</w:t>
            </w:r>
          </w:p>
        </w:tc>
      </w:tr>
      <w:tr w:rsidR="000B73BD" w:rsidRPr="0061332C" w14:paraId="7B79D0FF" w14:textId="77777777" w:rsidTr="00A97F3F">
        <w:tc>
          <w:tcPr>
            <w:tcW w:w="2423" w:type="dxa"/>
            <w:tcBorders>
              <w:top w:val="single" w:sz="18" w:space="0" w:color="auto"/>
            </w:tcBorders>
          </w:tcPr>
          <w:p w14:paraId="167FBF77" w14:textId="77777777" w:rsidR="000B73BD" w:rsidRPr="0061332C" w:rsidRDefault="000B73BD" w:rsidP="00A97F3F">
            <w:pPr>
              <w:tabs>
                <w:tab w:val="left" w:pos="720"/>
              </w:tabs>
              <w:suppressAutoHyphens/>
              <w:ind w:left="-90"/>
            </w:pPr>
          </w:p>
        </w:tc>
        <w:tc>
          <w:tcPr>
            <w:tcW w:w="3517" w:type="dxa"/>
            <w:tcBorders>
              <w:top w:val="single" w:sz="18" w:space="0" w:color="auto"/>
            </w:tcBorders>
          </w:tcPr>
          <w:p w14:paraId="3DE0FDEA" w14:textId="77777777" w:rsidR="000B73BD" w:rsidRPr="0061332C" w:rsidRDefault="000B73BD" w:rsidP="00A97F3F">
            <w:pPr>
              <w:tabs>
                <w:tab w:val="left" w:pos="720"/>
              </w:tabs>
              <w:suppressAutoHyphens/>
              <w:ind w:left="-90"/>
            </w:pPr>
          </w:p>
        </w:tc>
      </w:tr>
      <w:tr w:rsidR="000B73BD" w:rsidRPr="0061332C" w14:paraId="3796FF22" w14:textId="77777777" w:rsidTr="00A97F3F">
        <w:tc>
          <w:tcPr>
            <w:tcW w:w="2423" w:type="dxa"/>
          </w:tcPr>
          <w:p w14:paraId="0B53C26C" w14:textId="77777777" w:rsidR="000B73BD" w:rsidRPr="0061332C" w:rsidRDefault="000B73BD" w:rsidP="00A97F3F">
            <w:pPr>
              <w:tabs>
                <w:tab w:val="left" w:pos="720"/>
              </w:tabs>
              <w:suppressAutoHyphens/>
              <w:ind w:left="-90"/>
            </w:pPr>
          </w:p>
        </w:tc>
        <w:tc>
          <w:tcPr>
            <w:tcW w:w="3517" w:type="dxa"/>
          </w:tcPr>
          <w:p w14:paraId="27565F69" w14:textId="77777777" w:rsidR="000B73BD" w:rsidRPr="0061332C" w:rsidRDefault="000B73BD" w:rsidP="00A97F3F">
            <w:pPr>
              <w:tabs>
                <w:tab w:val="left" w:pos="720"/>
              </w:tabs>
              <w:suppressAutoHyphens/>
              <w:ind w:left="-90"/>
            </w:pPr>
          </w:p>
        </w:tc>
      </w:tr>
      <w:tr w:rsidR="000B73BD" w:rsidRPr="0061332C" w14:paraId="6D818291" w14:textId="77777777" w:rsidTr="00A97F3F">
        <w:tc>
          <w:tcPr>
            <w:tcW w:w="2423" w:type="dxa"/>
          </w:tcPr>
          <w:p w14:paraId="36C699D6" w14:textId="77777777" w:rsidR="000B73BD" w:rsidRPr="0061332C" w:rsidRDefault="000B73BD" w:rsidP="00A97F3F">
            <w:pPr>
              <w:tabs>
                <w:tab w:val="left" w:pos="720"/>
              </w:tabs>
              <w:suppressAutoHyphens/>
              <w:ind w:left="-90"/>
            </w:pPr>
          </w:p>
        </w:tc>
        <w:tc>
          <w:tcPr>
            <w:tcW w:w="3517" w:type="dxa"/>
          </w:tcPr>
          <w:p w14:paraId="7C088273" w14:textId="77777777" w:rsidR="000B73BD" w:rsidRPr="0061332C" w:rsidRDefault="000B73BD" w:rsidP="00A97F3F">
            <w:pPr>
              <w:tabs>
                <w:tab w:val="left" w:pos="720"/>
              </w:tabs>
              <w:suppressAutoHyphens/>
              <w:ind w:left="-90"/>
            </w:pPr>
          </w:p>
        </w:tc>
      </w:tr>
      <w:tr w:rsidR="000B73BD" w:rsidRPr="0061332C" w14:paraId="381F8D54" w14:textId="77777777" w:rsidTr="00A97F3F">
        <w:tc>
          <w:tcPr>
            <w:tcW w:w="2423" w:type="dxa"/>
          </w:tcPr>
          <w:p w14:paraId="1C7ADA35" w14:textId="77777777" w:rsidR="000B73BD" w:rsidRPr="0061332C" w:rsidRDefault="000B73BD" w:rsidP="00A97F3F">
            <w:pPr>
              <w:tabs>
                <w:tab w:val="left" w:pos="720"/>
              </w:tabs>
              <w:suppressAutoHyphens/>
              <w:ind w:left="-90"/>
            </w:pPr>
          </w:p>
        </w:tc>
        <w:tc>
          <w:tcPr>
            <w:tcW w:w="3517" w:type="dxa"/>
          </w:tcPr>
          <w:p w14:paraId="3011DB87" w14:textId="77777777" w:rsidR="000B73BD" w:rsidRPr="0061332C" w:rsidRDefault="000B73BD" w:rsidP="00A97F3F">
            <w:pPr>
              <w:tabs>
                <w:tab w:val="left" w:pos="720"/>
              </w:tabs>
              <w:suppressAutoHyphens/>
              <w:ind w:left="-90"/>
            </w:pPr>
          </w:p>
        </w:tc>
      </w:tr>
      <w:tr w:rsidR="000B73BD" w:rsidRPr="0061332C" w14:paraId="715FB1FB" w14:textId="77777777" w:rsidTr="00A97F3F">
        <w:tc>
          <w:tcPr>
            <w:tcW w:w="2423" w:type="dxa"/>
          </w:tcPr>
          <w:p w14:paraId="2D7DADB4" w14:textId="77777777" w:rsidR="000B73BD" w:rsidRPr="0061332C" w:rsidRDefault="000B73BD" w:rsidP="00A97F3F">
            <w:pPr>
              <w:tabs>
                <w:tab w:val="left" w:pos="720"/>
              </w:tabs>
              <w:suppressAutoHyphens/>
              <w:ind w:left="-90"/>
            </w:pPr>
          </w:p>
        </w:tc>
        <w:tc>
          <w:tcPr>
            <w:tcW w:w="3517" w:type="dxa"/>
          </w:tcPr>
          <w:p w14:paraId="497D923B" w14:textId="77777777" w:rsidR="000B73BD" w:rsidRPr="0061332C" w:rsidRDefault="000B73BD" w:rsidP="00A97F3F">
            <w:pPr>
              <w:tabs>
                <w:tab w:val="left" w:pos="720"/>
              </w:tabs>
              <w:suppressAutoHyphens/>
              <w:ind w:left="-90"/>
            </w:pPr>
          </w:p>
        </w:tc>
      </w:tr>
      <w:tr w:rsidR="000B73BD" w:rsidRPr="0061332C" w14:paraId="611B7AA4" w14:textId="77777777" w:rsidTr="00A97F3F">
        <w:tc>
          <w:tcPr>
            <w:tcW w:w="2423" w:type="dxa"/>
          </w:tcPr>
          <w:p w14:paraId="7F3BCE22" w14:textId="77777777" w:rsidR="000B73BD" w:rsidRPr="0061332C" w:rsidRDefault="000B73BD" w:rsidP="00A97F3F">
            <w:pPr>
              <w:tabs>
                <w:tab w:val="left" w:pos="720"/>
              </w:tabs>
              <w:suppressAutoHyphens/>
              <w:ind w:left="-90"/>
            </w:pPr>
          </w:p>
        </w:tc>
        <w:tc>
          <w:tcPr>
            <w:tcW w:w="3517" w:type="dxa"/>
          </w:tcPr>
          <w:p w14:paraId="345FFA8B" w14:textId="77777777" w:rsidR="000B73BD" w:rsidRPr="0061332C" w:rsidRDefault="000B73BD" w:rsidP="00A97F3F">
            <w:pPr>
              <w:tabs>
                <w:tab w:val="left" w:pos="720"/>
              </w:tabs>
              <w:suppressAutoHyphens/>
              <w:ind w:left="-90"/>
            </w:pPr>
          </w:p>
        </w:tc>
      </w:tr>
      <w:tr w:rsidR="000B73BD" w:rsidRPr="0061332C" w14:paraId="0C341DF3" w14:textId="77777777" w:rsidTr="00A97F3F">
        <w:tc>
          <w:tcPr>
            <w:tcW w:w="2423" w:type="dxa"/>
          </w:tcPr>
          <w:p w14:paraId="763CBEBD" w14:textId="77777777" w:rsidR="000B73BD" w:rsidRPr="0061332C" w:rsidRDefault="000B73BD" w:rsidP="00A97F3F">
            <w:pPr>
              <w:tabs>
                <w:tab w:val="left" w:pos="720"/>
              </w:tabs>
              <w:suppressAutoHyphens/>
              <w:ind w:left="-90"/>
            </w:pPr>
          </w:p>
        </w:tc>
        <w:tc>
          <w:tcPr>
            <w:tcW w:w="3517" w:type="dxa"/>
          </w:tcPr>
          <w:p w14:paraId="136E5EB6" w14:textId="77777777" w:rsidR="000B73BD" w:rsidRPr="0061332C" w:rsidRDefault="000B73BD" w:rsidP="00A97F3F">
            <w:pPr>
              <w:tabs>
                <w:tab w:val="left" w:pos="720"/>
              </w:tabs>
              <w:suppressAutoHyphens/>
              <w:ind w:left="-90"/>
            </w:pPr>
          </w:p>
        </w:tc>
      </w:tr>
      <w:tr w:rsidR="000B73BD" w:rsidRPr="0061332C" w14:paraId="2D99B51C" w14:textId="77777777" w:rsidTr="00A97F3F">
        <w:tc>
          <w:tcPr>
            <w:tcW w:w="2423" w:type="dxa"/>
          </w:tcPr>
          <w:p w14:paraId="466D9EBC" w14:textId="77777777" w:rsidR="000B73BD" w:rsidRPr="0061332C" w:rsidRDefault="000B73BD" w:rsidP="00A97F3F">
            <w:pPr>
              <w:tabs>
                <w:tab w:val="left" w:pos="720"/>
              </w:tabs>
              <w:suppressAutoHyphens/>
              <w:ind w:left="-90"/>
            </w:pPr>
          </w:p>
        </w:tc>
        <w:tc>
          <w:tcPr>
            <w:tcW w:w="3517" w:type="dxa"/>
          </w:tcPr>
          <w:p w14:paraId="766F799F" w14:textId="77777777" w:rsidR="000B73BD" w:rsidRPr="0061332C" w:rsidRDefault="000B73BD" w:rsidP="00A97F3F">
            <w:pPr>
              <w:tabs>
                <w:tab w:val="left" w:pos="720"/>
              </w:tabs>
              <w:suppressAutoHyphens/>
              <w:ind w:left="-90"/>
            </w:pPr>
          </w:p>
        </w:tc>
      </w:tr>
      <w:tr w:rsidR="000B73BD" w:rsidRPr="0061332C" w14:paraId="0951EEA0" w14:textId="77777777" w:rsidTr="00A97F3F">
        <w:tc>
          <w:tcPr>
            <w:tcW w:w="2423" w:type="dxa"/>
          </w:tcPr>
          <w:p w14:paraId="7CC5BFD2" w14:textId="77777777" w:rsidR="000B73BD" w:rsidRPr="0061332C" w:rsidRDefault="000B73BD" w:rsidP="00A97F3F">
            <w:pPr>
              <w:tabs>
                <w:tab w:val="left" w:pos="720"/>
              </w:tabs>
              <w:suppressAutoHyphens/>
              <w:ind w:left="-90"/>
            </w:pPr>
          </w:p>
        </w:tc>
        <w:tc>
          <w:tcPr>
            <w:tcW w:w="3517" w:type="dxa"/>
          </w:tcPr>
          <w:p w14:paraId="495CD486" w14:textId="77777777" w:rsidR="000B73BD" w:rsidRPr="0061332C" w:rsidRDefault="000B73BD" w:rsidP="00A97F3F">
            <w:pPr>
              <w:tabs>
                <w:tab w:val="left" w:pos="720"/>
              </w:tabs>
              <w:suppressAutoHyphens/>
              <w:ind w:left="-90"/>
            </w:pPr>
          </w:p>
        </w:tc>
      </w:tr>
      <w:tr w:rsidR="000B73BD" w:rsidRPr="0061332C" w14:paraId="7E5D95A7" w14:textId="77777777" w:rsidTr="00A97F3F">
        <w:tc>
          <w:tcPr>
            <w:tcW w:w="2423" w:type="dxa"/>
          </w:tcPr>
          <w:p w14:paraId="273C30B7" w14:textId="77777777" w:rsidR="000B73BD" w:rsidRPr="0061332C" w:rsidRDefault="000B73BD" w:rsidP="00A97F3F">
            <w:pPr>
              <w:tabs>
                <w:tab w:val="left" w:pos="720"/>
              </w:tabs>
              <w:suppressAutoHyphens/>
              <w:ind w:left="-90"/>
            </w:pPr>
          </w:p>
        </w:tc>
        <w:tc>
          <w:tcPr>
            <w:tcW w:w="3517" w:type="dxa"/>
          </w:tcPr>
          <w:p w14:paraId="4B25A5FC" w14:textId="77777777" w:rsidR="000B73BD" w:rsidRPr="0061332C" w:rsidRDefault="000B73BD" w:rsidP="00A97F3F">
            <w:pPr>
              <w:tabs>
                <w:tab w:val="left" w:pos="720"/>
              </w:tabs>
              <w:suppressAutoHyphens/>
              <w:ind w:left="-90"/>
            </w:pPr>
          </w:p>
        </w:tc>
      </w:tr>
      <w:tr w:rsidR="000B73BD" w:rsidRPr="0061332C" w14:paraId="24C49F13" w14:textId="77777777" w:rsidTr="00A97F3F">
        <w:tc>
          <w:tcPr>
            <w:tcW w:w="2423" w:type="dxa"/>
          </w:tcPr>
          <w:p w14:paraId="67431117" w14:textId="77777777" w:rsidR="000B73BD" w:rsidRPr="0061332C" w:rsidRDefault="000B73BD" w:rsidP="00A97F3F">
            <w:pPr>
              <w:tabs>
                <w:tab w:val="left" w:pos="720"/>
              </w:tabs>
              <w:suppressAutoHyphens/>
              <w:ind w:left="-90"/>
            </w:pPr>
          </w:p>
        </w:tc>
        <w:tc>
          <w:tcPr>
            <w:tcW w:w="3517" w:type="dxa"/>
          </w:tcPr>
          <w:p w14:paraId="12F38F14" w14:textId="77777777" w:rsidR="000B73BD" w:rsidRPr="0061332C" w:rsidRDefault="000B73BD" w:rsidP="00A97F3F">
            <w:pPr>
              <w:tabs>
                <w:tab w:val="left" w:pos="720"/>
              </w:tabs>
              <w:suppressAutoHyphens/>
              <w:ind w:left="-90"/>
            </w:pPr>
          </w:p>
        </w:tc>
      </w:tr>
      <w:tr w:rsidR="000B73BD" w:rsidRPr="0061332C" w14:paraId="0D930645" w14:textId="77777777" w:rsidTr="00A97F3F">
        <w:tc>
          <w:tcPr>
            <w:tcW w:w="2423" w:type="dxa"/>
          </w:tcPr>
          <w:p w14:paraId="26176735" w14:textId="77777777" w:rsidR="000B73BD" w:rsidRPr="0061332C" w:rsidRDefault="000B73BD" w:rsidP="00A97F3F">
            <w:pPr>
              <w:tabs>
                <w:tab w:val="left" w:pos="720"/>
              </w:tabs>
              <w:suppressAutoHyphens/>
              <w:ind w:left="-90"/>
            </w:pPr>
          </w:p>
        </w:tc>
        <w:tc>
          <w:tcPr>
            <w:tcW w:w="3517" w:type="dxa"/>
          </w:tcPr>
          <w:p w14:paraId="6ADF24C8" w14:textId="77777777" w:rsidR="000B73BD" w:rsidRPr="0061332C" w:rsidRDefault="000B73BD" w:rsidP="00A97F3F">
            <w:pPr>
              <w:tabs>
                <w:tab w:val="left" w:pos="720"/>
              </w:tabs>
              <w:suppressAutoHyphens/>
              <w:ind w:left="-90"/>
            </w:pPr>
          </w:p>
        </w:tc>
      </w:tr>
      <w:tr w:rsidR="000B73BD" w:rsidRPr="0061332C" w14:paraId="317733F2" w14:textId="77777777" w:rsidTr="00A97F3F">
        <w:tc>
          <w:tcPr>
            <w:tcW w:w="2423" w:type="dxa"/>
          </w:tcPr>
          <w:p w14:paraId="5C64310C" w14:textId="77777777" w:rsidR="000B73BD" w:rsidRPr="0061332C" w:rsidRDefault="000B73BD" w:rsidP="00A97F3F">
            <w:pPr>
              <w:tabs>
                <w:tab w:val="left" w:pos="720"/>
              </w:tabs>
              <w:suppressAutoHyphens/>
              <w:ind w:left="-90"/>
            </w:pPr>
          </w:p>
        </w:tc>
        <w:tc>
          <w:tcPr>
            <w:tcW w:w="3517" w:type="dxa"/>
          </w:tcPr>
          <w:p w14:paraId="0ABA8B1B" w14:textId="77777777" w:rsidR="000B73BD" w:rsidRPr="0061332C" w:rsidRDefault="000B73BD" w:rsidP="00A97F3F">
            <w:pPr>
              <w:tabs>
                <w:tab w:val="left" w:pos="720"/>
              </w:tabs>
              <w:suppressAutoHyphens/>
              <w:ind w:left="-90"/>
            </w:pPr>
          </w:p>
        </w:tc>
      </w:tr>
      <w:tr w:rsidR="000B73BD" w:rsidRPr="0061332C" w14:paraId="71323F0B" w14:textId="77777777" w:rsidTr="00A97F3F">
        <w:tc>
          <w:tcPr>
            <w:tcW w:w="2423" w:type="dxa"/>
          </w:tcPr>
          <w:p w14:paraId="45109A0A" w14:textId="77777777" w:rsidR="000B73BD" w:rsidRPr="0061332C" w:rsidRDefault="000B73BD" w:rsidP="00A97F3F">
            <w:pPr>
              <w:tabs>
                <w:tab w:val="left" w:pos="720"/>
              </w:tabs>
              <w:suppressAutoHyphens/>
              <w:ind w:left="-90"/>
            </w:pPr>
          </w:p>
        </w:tc>
        <w:tc>
          <w:tcPr>
            <w:tcW w:w="3517" w:type="dxa"/>
          </w:tcPr>
          <w:p w14:paraId="28F24448" w14:textId="77777777" w:rsidR="000B73BD" w:rsidRPr="0061332C" w:rsidRDefault="000B73BD" w:rsidP="00A97F3F">
            <w:pPr>
              <w:tabs>
                <w:tab w:val="left" w:pos="720"/>
              </w:tabs>
              <w:suppressAutoHyphens/>
              <w:ind w:left="-90"/>
            </w:pPr>
          </w:p>
        </w:tc>
      </w:tr>
      <w:tr w:rsidR="000B73BD" w:rsidRPr="0061332C" w14:paraId="11D3B7EF" w14:textId="77777777" w:rsidTr="00A97F3F">
        <w:tc>
          <w:tcPr>
            <w:tcW w:w="2423" w:type="dxa"/>
          </w:tcPr>
          <w:p w14:paraId="2FA96E60" w14:textId="77777777" w:rsidR="000B73BD" w:rsidRPr="0061332C" w:rsidRDefault="000B73BD" w:rsidP="00A97F3F">
            <w:pPr>
              <w:tabs>
                <w:tab w:val="left" w:pos="720"/>
              </w:tabs>
              <w:suppressAutoHyphens/>
              <w:ind w:left="-90"/>
            </w:pPr>
          </w:p>
        </w:tc>
        <w:tc>
          <w:tcPr>
            <w:tcW w:w="3517" w:type="dxa"/>
          </w:tcPr>
          <w:p w14:paraId="11FC2993" w14:textId="77777777" w:rsidR="000B73BD" w:rsidRPr="0061332C" w:rsidRDefault="000B73BD" w:rsidP="00A97F3F">
            <w:pPr>
              <w:tabs>
                <w:tab w:val="left" w:pos="720"/>
              </w:tabs>
              <w:suppressAutoHyphens/>
              <w:ind w:left="-90"/>
            </w:pPr>
          </w:p>
        </w:tc>
      </w:tr>
      <w:tr w:rsidR="000B73BD" w:rsidRPr="0061332C" w14:paraId="795AB415" w14:textId="77777777" w:rsidTr="00A97F3F">
        <w:tc>
          <w:tcPr>
            <w:tcW w:w="2423" w:type="dxa"/>
          </w:tcPr>
          <w:p w14:paraId="024402E7" w14:textId="77777777" w:rsidR="000B73BD" w:rsidRPr="0061332C" w:rsidRDefault="000B73BD" w:rsidP="00A97F3F">
            <w:pPr>
              <w:tabs>
                <w:tab w:val="left" w:pos="720"/>
              </w:tabs>
              <w:suppressAutoHyphens/>
              <w:ind w:left="-90"/>
            </w:pPr>
          </w:p>
        </w:tc>
        <w:tc>
          <w:tcPr>
            <w:tcW w:w="3517" w:type="dxa"/>
          </w:tcPr>
          <w:p w14:paraId="062FF871" w14:textId="77777777" w:rsidR="000B73BD" w:rsidRPr="0061332C" w:rsidRDefault="000B73BD" w:rsidP="00A97F3F">
            <w:pPr>
              <w:tabs>
                <w:tab w:val="left" w:pos="720"/>
              </w:tabs>
              <w:suppressAutoHyphens/>
              <w:ind w:left="-90"/>
            </w:pPr>
          </w:p>
        </w:tc>
      </w:tr>
      <w:tr w:rsidR="000B73BD" w:rsidRPr="0061332C" w14:paraId="3CF861EA" w14:textId="77777777" w:rsidTr="00A97F3F">
        <w:tc>
          <w:tcPr>
            <w:tcW w:w="2423" w:type="dxa"/>
          </w:tcPr>
          <w:p w14:paraId="27BB80D5" w14:textId="77777777" w:rsidR="000B73BD" w:rsidRPr="0061332C" w:rsidRDefault="000B73BD" w:rsidP="00A97F3F">
            <w:pPr>
              <w:tabs>
                <w:tab w:val="left" w:pos="720"/>
              </w:tabs>
              <w:suppressAutoHyphens/>
              <w:ind w:left="-90"/>
            </w:pPr>
          </w:p>
        </w:tc>
        <w:tc>
          <w:tcPr>
            <w:tcW w:w="3517" w:type="dxa"/>
          </w:tcPr>
          <w:p w14:paraId="5F4A35A2" w14:textId="77777777" w:rsidR="000B73BD" w:rsidRPr="0061332C" w:rsidRDefault="000B73BD" w:rsidP="00A97F3F">
            <w:pPr>
              <w:tabs>
                <w:tab w:val="left" w:pos="720"/>
              </w:tabs>
              <w:suppressAutoHyphens/>
              <w:ind w:left="-90"/>
            </w:pPr>
          </w:p>
        </w:tc>
      </w:tr>
      <w:tr w:rsidR="000B73BD" w:rsidRPr="0061332C" w14:paraId="6E215CAA" w14:textId="77777777" w:rsidTr="00A97F3F">
        <w:tc>
          <w:tcPr>
            <w:tcW w:w="2423" w:type="dxa"/>
          </w:tcPr>
          <w:p w14:paraId="1FD13496" w14:textId="77777777" w:rsidR="000B73BD" w:rsidRPr="0061332C" w:rsidRDefault="000B73BD" w:rsidP="00A97F3F">
            <w:pPr>
              <w:tabs>
                <w:tab w:val="left" w:pos="720"/>
              </w:tabs>
              <w:suppressAutoHyphens/>
              <w:ind w:left="-90"/>
            </w:pPr>
          </w:p>
        </w:tc>
        <w:tc>
          <w:tcPr>
            <w:tcW w:w="3517" w:type="dxa"/>
          </w:tcPr>
          <w:p w14:paraId="37DB2B85" w14:textId="77777777" w:rsidR="000B73BD" w:rsidRPr="0061332C" w:rsidRDefault="000B73BD" w:rsidP="00A97F3F">
            <w:pPr>
              <w:tabs>
                <w:tab w:val="left" w:pos="720"/>
              </w:tabs>
              <w:suppressAutoHyphens/>
              <w:ind w:left="-90"/>
            </w:pPr>
          </w:p>
        </w:tc>
      </w:tr>
    </w:tbl>
    <w:p w14:paraId="10ECCD50" w14:textId="77777777" w:rsidR="000B73BD" w:rsidRPr="0061332C" w:rsidRDefault="000B73BD" w:rsidP="00091F47">
      <w:pPr>
        <w:ind w:left="-90"/>
      </w:pPr>
    </w:p>
    <w:p w14:paraId="678D2ABC" w14:textId="77777777" w:rsidR="00582660" w:rsidRDefault="00582660" w:rsidP="000B73BD">
      <w:pPr>
        <w:ind w:left="-90"/>
      </w:pPr>
    </w:p>
    <w:p w14:paraId="2DAD62BD" w14:textId="77777777" w:rsidR="00582660" w:rsidRDefault="00582660" w:rsidP="000B73BD">
      <w:pPr>
        <w:ind w:left="-90"/>
      </w:pPr>
    </w:p>
    <w:sectPr w:rsidR="00582660" w:rsidSect="00D738FE">
      <w:footerReference w:type="default" r:id="rId11"/>
      <w:pgSz w:w="12240" w:h="15840" w:code="1"/>
      <w:pgMar w:top="1152" w:right="1152" w:bottom="1152" w:left="1152" w:header="108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FC269" w14:textId="77777777" w:rsidR="002C033C" w:rsidRDefault="002C033C">
      <w:r>
        <w:separator/>
      </w:r>
    </w:p>
  </w:endnote>
  <w:endnote w:type="continuationSeparator" w:id="0">
    <w:p w14:paraId="06473CFD" w14:textId="77777777" w:rsidR="002C033C" w:rsidRDefault="002C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7C1E9" w14:textId="77777777" w:rsidR="00AD2AA1" w:rsidRPr="00683CBD" w:rsidRDefault="00AD2AA1" w:rsidP="00683CBD">
    <w:pPr>
      <w:pStyle w:val="Footer"/>
      <w:jc w:val="center"/>
      <w:rPr>
        <w:rFonts w:ascii="Times New Roman" w:hAnsi="Times New Roman" w:cs="Times New Roman"/>
        <w:b/>
        <w:sz w:val="16"/>
        <w:szCs w:val="16"/>
      </w:rPr>
    </w:pPr>
    <w:r w:rsidRPr="00683CBD">
      <w:rPr>
        <w:rFonts w:ascii="Times New Roman" w:hAnsi="Times New Roman" w:cs="Times New Roman"/>
        <w:b/>
        <w:sz w:val="16"/>
        <w:szCs w:val="16"/>
      </w:rPr>
      <w:t>Controlled Copy, Do Not Duplicate</w:t>
    </w:r>
  </w:p>
  <w:p w14:paraId="35C70261" w14:textId="77777777" w:rsidR="00AD2AA1" w:rsidRPr="00683CBD" w:rsidRDefault="00AD2AA1" w:rsidP="00683CBD">
    <w:pPr>
      <w:pStyle w:val="Footer"/>
      <w:jc w:val="center"/>
      <w:rPr>
        <w:rFonts w:ascii="Times New Roman" w:hAnsi="Times New Roman" w:cs="Times New Roman"/>
        <w:b/>
        <w:sz w:val="16"/>
        <w:szCs w:val="16"/>
      </w:rPr>
    </w:pPr>
    <w:r w:rsidRPr="00683CBD">
      <w:rPr>
        <w:rFonts w:ascii="Times New Roman" w:hAnsi="Times New Roman" w:cs="Times New Roman"/>
        <w:b/>
        <w:sz w:val="16"/>
        <w:szCs w:val="16"/>
      </w:rPr>
      <w:t>For Internal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B93C" w14:textId="77777777" w:rsidR="00AD2AA1" w:rsidRPr="00597A10" w:rsidRDefault="00AD2AA1" w:rsidP="0059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A3932" w14:textId="77777777" w:rsidR="002C033C" w:rsidRDefault="002C033C">
      <w:r>
        <w:separator/>
      </w:r>
    </w:p>
  </w:footnote>
  <w:footnote w:type="continuationSeparator" w:id="0">
    <w:p w14:paraId="55A6B0FA" w14:textId="77777777" w:rsidR="002C033C" w:rsidRDefault="002C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2027"/>
      <w:gridCol w:w="3258"/>
    </w:tblGrid>
    <w:tr w:rsidR="00AD2AA1" w:rsidRPr="00A97F3F" w14:paraId="58FF2F79" w14:textId="77777777" w:rsidTr="00A97F3F">
      <w:tc>
        <w:tcPr>
          <w:tcW w:w="4698" w:type="dxa"/>
        </w:tcPr>
        <w:p w14:paraId="47F898CB" w14:textId="77777777" w:rsidR="0051004C" w:rsidRPr="00A97F3F" w:rsidRDefault="00172E12" w:rsidP="004A4538">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9B680BB" wp14:editId="0975513D">
                <wp:extent cx="2042160" cy="365760"/>
                <wp:effectExtent l="0" t="0" r="0" b="0"/>
                <wp:docPr id="1" name="Picture 1" descr="GD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365760"/>
                        </a:xfrm>
                        <a:prstGeom prst="rect">
                          <a:avLst/>
                        </a:prstGeom>
                        <a:noFill/>
                        <a:ln>
                          <a:noFill/>
                        </a:ln>
                      </pic:spPr>
                    </pic:pic>
                  </a:graphicData>
                </a:graphic>
              </wp:inline>
            </w:drawing>
          </w:r>
        </w:p>
      </w:tc>
      <w:tc>
        <w:tcPr>
          <w:tcW w:w="5454" w:type="dxa"/>
          <w:gridSpan w:val="2"/>
        </w:tcPr>
        <w:p w14:paraId="270A80E2" w14:textId="77777777" w:rsidR="00AD2AA1" w:rsidRPr="00A97F3F" w:rsidRDefault="00AD2AA1" w:rsidP="004A4538">
          <w:pPr>
            <w:rPr>
              <w:rFonts w:ascii="Times New Roman" w:hAnsi="Times New Roman" w:cs="Times New Roman"/>
              <w:sz w:val="20"/>
              <w:szCs w:val="20"/>
            </w:rPr>
          </w:pPr>
          <w:r w:rsidRPr="00A97F3F">
            <w:rPr>
              <w:rFonts w:ascii="Times New Roman" w:hAnsi="Times New Roman" w:cs="Times New Roman"/>
              <w:sz w:val="20"/>
              <w:szCs w:val="20"/>
            </w:rPr>
            <w:t>Hazard Communication Policy</w:t>
          </w:r>
        </w:p>
      </w:tc>
    </w:tr>
    <w:tr w:rsidR="0051004C" w:rsidRPr="00A97F3F" w14:paraId="023F7D55" w14:textId="77777777" w:rsidTr="00A97F3F">
      <w:tc>
        <w:tcPr>
          <w:tcW w:w="4698" w:type="dxa"/>
        </w:tcPr>
        <w:p w14:paraId="50CD18D6" w14:textId="269E12FA" w:rsidR="0051004C" w:rsidRPr="00A97F3F" w:rsidRDefault="0051004C" w:rsidP="0051004C">
          <w:pPr>
            <w:rPr>
              <w:rFonts w:ascii="Times New Roman" w:hAnsi="Times New Roman" w:cs="Times New Roman"/>
              <w:sz w:val="20"/>
              <w:szCs w:val="20"/>
            </w:rPr>
          </w:pPr>
          <w:r w:rsidRPr="00A97F3F">
            <w:rPr>
              <w:rFonts w:ascii="Times New Roman" w:hAnsi="Times New Roman" w:cs="Times New Roman"/>
              <w:sz w:val="20"/>
              <w:szCs w:val="20"/>
            </w:rPr>
            <w:t xml:space="preserve">24300 Southfield Road, Suite </w:t>
          </w:r>
          <w:r w:rsidR="00595685">
            <w:rPr>
              <w:rFonts w:ascii="Times New Roman" w:hAnsi="Times New Roman" w:cs="Times New Roman"/>
              <w:sz w:val="20"/>
              <w:szCs w:val="20"/>
            </w:rPr>
            <w:t>300</w:t>
          </w:r>
        </w:p>
        <w:p w14:paraId="673EA873" w14:textId="77777777" w:rsidR="0051004C" w:rsidRDefault="0051004C" w:rsidP="0051004C">
          <w:pPr>
            <w:rPr>
              <w:rFonts w:ascii="Times New Roman" w:hAnsi="Times New Roman" w:cs="Times New Roman"/>
              <w:sz w:val="20"/>
              <w:szCs w:val="20"/>
            </w:rPr>
          </w:pPr>
          <w:r w:rsidRPr="00A97F3F">
            <w:rPr>
              <w:rFonts w:ascii="Times New Roman" w:hAnsi="Times New Roman" w:cs="Times New Roman"/>
              <w:sz w:val="20"/>
              <w:szCs w:val="20"/>
            </w:rPr>
            <w:t>Southfield, Michigan</w:t>
          </w:r>
          <w:r>
            <w:rPr>
              <w:rFonts w:ascii="Times New Roman" w:hAnsi="Times New Roman" w:cs="Times New Roman"/>
              <w:sz w:val="20"/>
              <w:szCs w:val="20"/>
            </w:rPr>
            <w:t xml:space="preserve"> 48075</w:t>
          </w:r>
        </w:p>
        <w:p w14:paraId="69D13464" w14:textId="77777777" w:rsidR="0051004C" w:rsidRPr="00A97F3F" w:rsidRDefault="0051004C" w:rsidP="0051004C">
          <w:pPr>
            <w:rPr>
              <w:rFonts w:ascii="Times New Roman" w:hAnsi="Times New Roman" w:cs="Times New Roman"/>
              <w:sz w:val="20"/>
              <w:szCs w:val="20"/>
            </w:rPr>
          </w:pPr>
        </w:p>
      </w:tc>
      <w:tc>
        <w:tcPr>
          <w:tcW w:w="2070" w:type="dxa"/>
        </w:tcPr>
        <w:p w14:paraId="19D3E0C2" w14:textId="77777777" w:rsidR="0051004C" w:rsidRPr="00A97F3F" w:rsidRDefault="0051004C" w:rsidP="0051004C">
          <w:pPr>
            <w:rPr>
              <w:rFonts w:ascii="Times New Roman" w:hAnsi="Times New Roman" w:cs="Times New Roman"/>
              <w:sz w:val="20"/>
              <w:szCs w:val="20"/>
            </w:rPr>
          </w:pPr>
          <w:r w:rsidRPr="00A97F3F">
            <w:rPr>
              <w:rFonts w:ascii="Times New Roman" w:hAnsi="Times New Roman" w:cs="Times New Roman"/>
              <w:sz w:val="20"/>
              <w:szCs w:val="20"/>
            </w:rPr>
            <w:t>Doc. No. SP-05</w:t>
          </w:r>
        </w:p>
      </w:tc>
      <w:tc>
        <w:tcPr>
          <w:tcW w:w="3384" w:type="dxa"/>
        </w:tcPr>
        <w:p w14:paraId="706232B0" w14:textId="0355A619" w:rsidR="0051004C" w:rsidRPr="00A97F3F" w:rsidRDefault="0051004C" w:rsidP="0051004C">
          <w:pPr>
            <w:rPr>
              <w:rFonts w:ascii="Times New Roman" w:hAnsi="Times New Roman" w:cs="Times New Roman"/>
              <w:sz w:val="20"/>
              <w:szCs w:val="20"/>
            </w:rPr>
          </w:pPr>
          <w:r>
            <w:rPr>
              <w:rFonts w:ascii="Times New Roman" w:hAnsi="Times New Roman" w:cs="Times New Roman"/>
              <w:sz w:val="20"/>
              <w:szCs w:val="20"/>
            </w:rPr>
            <w:t xml:space="preserve">Rev. No. </w:t>
          </w:r>
          <w:r w:rsidR="00CA2914">
            <w:rPr>
              <w:rFonts w:ascii="Times New Roman" w:hAnsi="Times New Roman" w:cs="Times New Roman"/>
              <w:sz w:val="20"/>
              <w:szCs w:val="20"/>
            </w:rPr>
            <w:t>1</w:t>
          </w:r>
          <w:r w:rsidR="00706198">
            <w:rPr>
              <w:rFonts w:ascii="Times New Roman" w:hAnsi="Times New Roman" w:cs="Times New Roman"/>
              <w:sz w:val="20"/>
              <w:szCs w:val="20"/>
            </w:rPr>
            <w:t>3</w:t>
          </w:r>
        </w:p>
      </w:tc>
    </w:tr>
    <w:tr w:rsidR="0051004C" w:rsidRPr="00A97F3F" w14:paraId="063B93C5" w14:textId="77777777" w:rsidTr="00A97F3F">
      <w:tc>
        <w:tcPr>
          <w:tcW w:w="4698" w:type="dxa"/>
        </w:tcPr>
        <w:p w14:paraId="58B7CEDD" w14:textId="77777777" w:rsidR="0051004C" w:rsidRPr="00A97F3F" w:rsidRDefault="0051004C" w:rsidP="0051004C">
          <w:pPr>
            <w:rPr>
              <w:rFonts w:ascii="Times New Roman" w:hAnsi="Times New Roman" w:cs="Times New Roman"/>
              <w:sz w:val="20"/>
              <w:szCs w:val="20"/>
            </w:rPr>
          </w:pPr>
        </w:p>
        <w:p w14:paraId="1E87DBD7" w14:textId="77777777" w:rsidR="0051004C" w:rsidRPr="00A97F3F" w:rsidRDefault="0051004C" w:rsidP="0051004C">
          <w:pPr>
            <w:rPr>
              <w:rFonts w:ascii="Times New Roman" w:hAnsi="Times New Roman" w:cs="Times New Roman"/>
              <w:sz w:val="20"/>
              <w:szCs w:val="20"/>
            </w:rPr>
          </w:pPr>
        </w:p>
      </w:tc>
      <w:tc>
        <w:tcPr>
          <w:tcW w:w="2070" w:type="dxa"/>
        </w:tcPr>
        <w:p w14:paraId="5D0992A2" w14:textId="6939F0B7" w:rsidR="0051004C" w:rsidRPr="00A97F3F" w:rsidRDefault="00B07FD7" w:rsidP="0051004C">
          <w:pPr>
            <w:rPr>
              <w:rFonts w:ascii="Times New Roman" w:hAnsi="Times New Roman" w:cs="Times New Roman"/>
              <w:sz w:val="20"/>
              <w:szCs w:val="20"/>
            </w:rPr>
          </w:pPr>
          <w:r>
            <w:rPr>
              <w:rFonts w:ascii="Times New Roman" w:hAnsi="Times New Roman" w:cs="Times New Roman"/>
              <w:sz w:val="20"/>
              <w:szCs w:val="20"/>
            </w:rPr>
            <w:t>Date:  0</w:t>
          </w:r>
          <w:r w:rsidR="00706198">
            <w:rPr>
              <w:rFonts w:ascii="Times New Roman" w:hAnsi="Times New Roman" w:cs="Times New Roman"/>
              <w:sz w:val="20"/>
              <w:szCs w:val="20"/>
            </w:rPr>
            <w:t>8</w:t>
          </w:r>
          <w:r w:rsidR="00595685">
            <w:rPr>
              <w:rFonts w:ascii="Times New Roman" w:hAnsi="Times New Roman" w:cs="Times New Roman"/>
              <w:sz w:val="20"/>
              <w:szCs w:val="20"/>
            </w:rPr>
            <w:t>/2</w:t>
          </w:r>
          <w:r w:rsidR="00706198">
            <w:rPr>
              <w:rFonts w:ascii="Times New Roman" w:hAnsi="Times New Roman" w:cs="Times New Roman"/>
              <w:sz w:val="20"/>
              <w:szCs w:val="20"/>
            </w:rPr>
            <w:t>8</w:t>
          </w:r>
          <w:r w:rsidR="00595685">
            <w:rPr>
              <w:rFonts w:ascii="Times New Roman" w:hAnsi="Times New Roman" w:cs="Times New Roman"/>
              <w:sz w:val="20"/>
              <w:szCs w:val="20"/>
            </w:rPr>
            <w:t>/2020</w:t>
          </w:r>
        </w:p>
      </w:tc>
      <w:tc>
        <w:tcPr>
          <w:tcW w:w="3384" w:type="dxa"/>
        </w:tcPr>
        <w:p w14:paraId="534B2E49" w14:textId="77777777" w:rsidR="0051004C" w:rsidRPr="00A97F3F" w:rsidRDefault="0051004C" w:rsidP="0051004C">
          <w:pPr>
            <w:rPr>
              <w:rFonts w:ascii="Times New Roman" w:hAnsi="Times New Roman" w:cs="Times New Roman"/>
              <w:sz w:val="20"/>
              <w:szCs w:val="20"/>
            </w:rPr>
          </w:pPr>
          <w:r w:rsidRPr="00A97F3F">
            <w:rPr>
              <w:rFonts w:ascii="Times New Roman" w:hAnsi="Times New Roman" w:cs="Times New Roman"/>
              <w:sz w:val="20"/>
              <w:szCs w:val="20"/>
            </w:rPr>
            <w:t xml:space="preserve">Page </w:t>
          </w:r>
          <w:r w:rsidRPr="00A97F3F">
            <w:rPr>
              <w:rStyle w:val="PageNumber"/>
              <w:rFonts w:ascii="Times New Roman" w:hAnsi="Times New Roman" w:cs="Times New Roman"/>
              <w:sz w:val="20"/>
              <w:szCs w:val="20"/>
            </w:rPr>
            <w:fldChar w:fldCharType="begin"/>
          </w:r>
          <w:r w:rsidRPr="00A97F3F">
            <w:rPr>
              <w:rStyle w:val="PageNumber"/>
              <w:rFonts w:ascii="Times New Roman" w:hAnsi="Times New Roman" w:cs="Times New Roman"/>
              <w:sz w:val="20"/>
              <w:szCs w:val="20"/>
            </w:rPr>
            <w:instrText xml:space="preserve"> PAGE </w:instrText>
          </w:r>
          <w:r w:rsidRPr="00A97F3F">
            <w:rPr>
              <w:rStyle w:val="PageNumber"/>
              <w:rFonts w:ascii="Times New Roman" w:hAnsi="Times New Roman" w:cs="Times New Roman"/>
              <w:sz w:val="20"/>
              <w:szCs w:val="20"/>
            </w:rPr>
            <w:fldChar w:fldCharType="separate"/>
          </w:r>
          <w:r w:rsidR="00186715">
            <w:rPr>
              <w:rStyle w:val="PageNumber"/>
              <w:rFonts w:ascii="Times New Roman" w:hAnsi="Times New Roman" w:cs="Times New Roman"/>
              <w:noProof/>
              <w:sz w:val="20"/>
              <w:szCs w:val="20"/>
            </w:rPr>
            <w:t>7</w:t>
          </w:r>
          <w:r w:rsidRPr="00A97F3F">
            <w:rPr>
              <w:rStyle w:val="PageNumber"/>
              <w:rFonts w:ascii="Times New Roman" w:hAnsi="Times New Roman" w:cs="Times New Roman"/>
              <w:sz w:val="20"/>
              <w:szCs w:val="20"/>
            </w:rPr>
            <w:fldChar w:fldCharType="end"/>
          </w:r>
          <w:r w:rsidRPr="00A97F3F">
            <w:rPr>
              <w:rStyle w:val="PageNumber"/>
              <w:rFonts w:ascii="Times New Roman" w:hAnsi="Times New Roman" w:cs="Times New Roman"/>
              <w:sz w:val="20"/>
              <w:szCs w:val="20"/>
            </w:rPr>
            <w:t xml:space="preserve"> of </w:t>
          </w:r>
          <w:r w:rsidRPr="00A97F3F">
            <w:rPr>
              <w:rStyle w:val="PageNumber"/>
              <w:rFonts w:ascii="Times New Roman" w:hAnsi="Times New Roman" w:cs="Times New Roman"/>
              <w:sz w:val="20"/>
              <w:szCs w:val="20"/>
            </w:rPr>
            <w:fldChar w:fldCharType="begin"/>
          </w:r>
          <w:r w:rsidRPr="00A97F3F">
            <w:rPr>
              <w:rStyle w:val="PageNumber"/>
              <w:rFonts w:ascii="Times New Roman" w:hAnsi="Times New Roman" w:cs="Times New Roman"/>
              <w:sz w:val="20"/>
              <w:szCs w:val="20"/>
            </w:rPr>
            <w:instrText xml:space="preserve"> NUMPAGES </w:instrText>
          </w:r>
          <w:r w:rsidRPr="00A97F3F">
            <w:rPr>
              <w:rStyle w:val="PageNumber"/>
              <w:rFonts w:ascii="Times New Roman" w:hAnsi="Times New Roman" w:cs="Times New Roman"/>
              <w:sz w:val="20"/>
              <w:szCs w:val="20"/>
            </w:rPr>
            <w:fldChar w:fldCharType="separate"/>
          </w:r>
          <w:r w:rsidR="00186715">
            <w:rPr>
              <w:rStyle w:val="PageNumber"/>
              <w:rFonts w:ascii="Times New Roman" w:hAnsi="Times New Roman" w:cs="Times New Roman"/>
              <w:noProof/>
              <w:sz w:val="20"/>
              <w:szCs w:val="20"/>
            </w:rPr>
            <w:t>7</w:t>
          </w:r>
          <w:r w:rsidRPr="00A97F3F">
            <w:rPr>
              <w:rStyle w:val="PageNumber"/>
              <w:rFonts w:ascii="Times New Roman" w:hAnsi="Times New Roman" w:cs="Times New Roman"/>
              <w:sz w:val="20"/>
              <w:szCs w:val="20"/>
            </w:rPr>
            <w:fldChar w:fldCharType="end"/>
          </w:r>
        </w:p>
      </w:tc>
    </w:tr>
  </w:tbl>
  <w:p w14:paraId="36A09999" w14:textId="77777777" w:rsidR="00AD2AA1" w:rsidRPr="00E36F73" w:rsidRDefault="00AD2AA1">
    <w:pPr>
      <w:pStyle w:val="Heade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D2D3651"/>
    <w:multiLevelType w:val="hybridMultilevel"/>
    <w:tmpl w:val="DA14C4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1F2597"/>
    <w:multiLevelType w:val="hybridMultilevel"/>
    <w:tmpl w:val="4AEA4C56"/>
    <w:lvl w:ilvl="0" w:tplc="1A2C8A7E">
      <w:start w:val="1"/>
      <w:numFmt w:val="bullet"/>
      <w:lvlText w:val=""/>
      <w:lvlJc w:val="left"/>
      <w:pPr>
        <w:tabs>
          <w:tab w:val="num" w:pos="2232"/>
        </w:tabs>
        <w:ind w:left="2232" w:hanging="432"/>
      </w:pPr>
      <w:rPr>
        <w:rFonts w:ascii="Symbol" w:hAnsi="Symbol" w:hint="default"/>
        <w:color w:val="auto"/>
        <w:sz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10981DA8">
      <w:numFmt w:val="bullet"/>
      <w:lvlText w:val="-"/>
      <w:lvlJc w:val="left"/>
      <w:pPr>
        <w:tabs>
          <w:tab w:val="num" w:pos="3600"/>
        </w:tabs>
        <w:ind w:left="3600" w:hanging="360"/>
      </w:pPr>
      <w:rPr>
        <w:rFonts w:ascii="Arial" w:eastAsia="Times New Roman" w:hAnsi="Arial" w:cs="Aria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3BDA49CB"/>
    <w:multiLevelType w:val="multilevel"/>
    <w:tmpl w:val="5A061036"/>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DA25862"/>
    <w:multiLevelType w:val="multilevel"/>
    <w:tmpl w:val="5A061036"/>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3510"/>
        </w:tabs>
        <w:ind w:left="307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D2576A1"/>
    <w:multiLevelType w:val="hybridMultilevel"/>
    <w:tmpl w:val="C34E1918"/>
    <w:lvl w:ilvl="0" w:tplc="1A2C8A7E">
      <w:start w:val="1"/>
      <w:numFmt w:val="bullet"/>
      <w:lvlText w:val=""/>
      <w:lvlJc w:val="left"/>
      <w:pPr>
        <w:tabs>
          <w:tab w:val="num" w:pos="1152"/>
        </w:tabs>
        <w:ind w:left="1152" w:hanging="432"/>
      </w:pPr>
      <w:rPr>
        <w:rFonts w:ascii="Symbol" w:hAnsi="Symbol" w:hint="default"/>
        <w:color w:val="auto"/>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92F5594"/>
    <w:multiLevelType w:val="hybridMultilevel"/>
    <w:tmpl w:val="C8669F62"/>
    <w:lvl w:ilvl="0" w:tplc="1A2C8A7E">
      <w:start w:val="1"/>
      <w:numFmt w:val="bullet"/>
      <w:lvlText w:val=""/>
      <w:lvlJc w:val="left"/>
      <w:pPr>
        <w:tabs>
          <w:tab w:val="num" w:pos="792"/>
        </w:tabs>
        <w:ind w:left="792" w:hanging="432"/>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E9"/>
    <w:rsid w:val="000001F7"/>
    <w:rsid w:val="00002B12"/>
    <w:rsid w:val="00004B27"/>
    <w:rsid w:val="00013CAC"/>
    <w:rsid w:val="0001742D"/>
    <w:rsid w:val="0003406D"/>
    <w:rsid w:val="00037FD6"/>
    <w:rsid w:val="000415F5"/>
    <w:rsid w:val="0005276F"/>
    <w:rsid w:val="000567FA"/>
    <w:rsid w:val="00056C88"/>
    <w:rsid w:val="00057642"/>
    <w:rsid w:val="00057ECA"/>
    <w:rsid w:val="0007411D"/>
    <w:rsid w:val="000802FA"/>
    <w:rsid w:val="0008320B"/>
    <w:rsid w:val="00091F47"/>
    <w:rsid w:val="00095C18"/>
    <w:rsid w:val="000B485F"/>
    <w:rsid w:val="000B6BCB"/>
    <w:rsid w:val="000B7368"/>
    <w:rsid w:val="000B73BD"/>
    <w:rsid w:val="000C38BA"/>
    <w:rsid w:val="000C47E6"/>
    <w:rsid w:val="000C6B98"/>
    <w:rsid w:val="000D61B1"/>
    <w:rsid w:val="000D6854"/>
    <w:rsid w:val="000E2BF0"/>
    <w:rsid w:val="000E2DF6"/>
    <w:rsid w:val="000E61E0"/>
    <w:rsid w:val="001002A7"/>
    <w:rsid w:val="00100879"/>
    <w:rsid w:val="0010281A"/>
    <w:rsid w:val="00105283"/>
    <w:rsid w:val="00127956"/>
    <w:rsid w:val="001325EF"/>
    <w:rsid w:val="0013318C"/>
    <w:rsid w:val="00134CD1"/>
    <w:rsid w:val="0015267B"/>
    <w:rsid w:val="00153CDD"/>
    <w:rsid w:val="00156ACB"/>
    <w:rsid w:val="00156E76"/>
    <w:rsid w:val="00162D0F"/>
    <w:rsid w:val="00172E12"/>
    <w:rsid w:val="001776FC"/>
    <w:rsid w:val="00182D55"/>
    <w:rsid w:val="001845FF"/>
    <w:rsid w:val="00186715"/>
    <w:rsid w:val="0019538F"/>
    <w:rsid w:val="001A409E"/>
    <w:rsid w:val="001A4B5E"/>
    <w:rsid w:val="001A5F60"/>
    <w:rsid w:val="001B1FDE"/>
    <w:rsid w:val="001C0055"/>
    <w:rsid w:val="001C1FB9"/>
    <w:rsid w:val="001C3C29"/>
    <w:rsid w:val="001C4196"/>
    <w:rsid w:val="001C5F92"/>
    <w:rsid w:val="001D1042"/>
    <w:rsid w:val="001D5942"/>
    <w:rsid w:val="001E0E8D"/>
    <w:rsid w:val="001F3345"/>
    <w:rsid w:val="002032D7"/>
    <w:rsid w:val="00205EBD"/>
    <w:rsid w:val="00206453"/>
    <w:rsid w:val="00210523"/>
    <w:rsid w:val="00213B1B"/>
    <w:rsid w:val="00216E47"/>
    <w:rsid w:val="0022580F"/>
    <w:rsid w:val="00226C87"/>
    <w:rsid w:val="0023295C"/>
    <w:rsid w:val="002450EE"/>
    <w:rsid w:val="00250674"/>
    <w:rsid w:val="00256994"/>
    <w:rsid w:val="002727A6"/>
    <w:rsid w:val="00281E38"/>
    <w:rsid w:val="0029317A"/>
    <w:rsid w:val="002937FF"/>
    <w:rsid w:val="002947FB"/>
    <w:rsid w:val="00297501"/>
    <w:rsid w:val="002A0550"/>
    <w:rsid w:val="002A157A"/>
    <w:rsid w:val="002A1DF6"/>
    <w:rsid w:val="002A3BFC"/>
    <w:rsid w:val="002B41B5"/>
    <w:rsid w:val="002B6583"/>
    <w:rsid w:val="002C033C"/>
    <w:rsid w:val="002C4A3E"/>
    <w:rsid w:val="002C4FE0"/>
    <w:rsid w:val="002C79C9"/>
    <w:rsid w:val="002F1DCB"/>
    <w:rsid w:val="002F4C38"/>
    <w:rsid w:val="00302734"/>
    <w:rsid w:val="00307DBC"/>
    <w:rsid w:val="00314893"/>
    <w:rsid w:val="0031613F"/>
    <w:rsid w:val="00317790"/>
    <w:rsid w:val="00325761"/>
    <w:rsid w:val="00334CD4"/>
    <w:rsid w:val="00335DD0"/>
    <w:rsid w:val="0034690E"/>
    <w:rsid w:val="0036311A"/>
    <w:rsid w:val="00363989"/>
    <w:rsid w:val="00371C30"/>
    <w:rsid w:val="00376FC1"/>
    <w:rsid w:val="003A0A34"/>
    <w:rsid w:val="003A2B86"/>
    <w:rsid w:val="003B1919"/>
    <w:rsid w:val="003B33A1"/>
    <w:rsid w:val="003C5B72"/>
    <w:rsid w:val="003E5C24"/>
    <w:rsid w:val="003E686E"/>
    <w:rsid w:val="003F4D84"/>
    <w:rsid w:val="003F6516"/>
    <w:rsid w:val="003F6BAA"/>
    <w:rsid w:val="00400353"/>
    <w:rsid w:val="00400693"/>
    <w:rsid w:val="00401174"/>
    <w:rsid w:val="0040271D"/>
    <w:rsid w:val="00402A7B"/>
    <w:rsid w:val="00402E90"/>
    <w:rsid w:val="00415824"/>
    <w:rsid w:val="00417AEE"/>
    <w:rsid w:val="00422650"/>
    <w:rsid w:val="004378E7"/>
    <w:rsid w:val="00443DFC"/>
    <w:rsid w:val="004478B6"/>
    <w:rsid w:val="0045054D"/>
    <w:rsid w:val="0045208A"/>
    <w:rsid w:val="004558A3"/>
    <w:rsid w:val="00455FBB"/>
    <w:rsid w:val="00483AE0"/>
    <w:rsid w:val="00490F15"/>
    <w:rsid w:val="00490F9F"/>
    <w:rsid w:val="00491F49"/>
    <w:rsid w:val="00495DD0"/>
    <w:rsid w:val="0049790A"/>
    <w:rsid w:val="004A4538"/>
    <w:rsid w:val="004A6B54"/>
    <w:rsid w:val="004A723E"/>
    <w:rsid w:val="004B70BF"/>
    <w:rsid w:val="004F3EF6"/>
    <w:rsid w:val="004F4D87"/>
    <w:rsid w:val="0051004C"/>
    <w:rsid w:val="0051182D"/>
    <w:rsid w:val="0051188A"/>
    <w:rsid w:val="00516394"/>
    <w:rsid w:val="00523933"/>
    <w:rsid w:val="005264B2"/>
    <w:rsid w:val="00535D39"/>
    <w:rsid w:val="005404BB"/>
    <w:rsid w:val="00543E2E"/>
    <w:rsid w:val="00554036"/>
    <w:rsid w:val="005647D5"/>
    <w:rsid w:val="00570423"/>
    <w:rsid w:val="00572DEC"/>
    <w:rsid w:val="00575E27"/>
    <w:rsid w:val="00582660"/>
    <w:rsid w:val="00590A5F"/>
    <w:rsid w:val="00595685"/>
    <w:rsid w:val="00597A10"/>
    <w:rsid w:val="005A04DA"/>
    <w:rsid w:val="005A6572"/>
    <w:rsid w:val="005C4F93"/>
    <w:rsid w:val="005D02A7"/>
    <w:rsid w:val="005D0F64"/>
    <w:rsid w:val="005D3756"/>
    <w:rsid w:val="005D4545"/>
    <w:rsid w:val="005D58CF"/>
    <w:rsid w:val="005E574A"/>
    <w:rsid w:val="005F5D1B"/>
    <w:rsid w:val="005F7413"/>
    <w:rsid w:val="00601161"/>
    <w:rsid w:val="00601396"/>
    <w:rsid w:val="00604F23"/>
    <w:rsid w:val="006078F4"/>
    <w:rsid w:val="00616EBE"/>
    <w:rsid w:val="0063560C"/>
    <w:rsid w:val="00641F6C"/>
    <w:rsid w:val="006422A6"/>
    <w:rsid w:val="0065018F"/>
    <w:rsid w:val="006529E9"/>
    <w:rsid w:val="00657B83"/>
    <w:rsid w:val="006706F6"/>
    <w:rsid w:val="00675EA9"/>
    <w:rsid w:val="00681D58"/>
    <w:rsid w:val="00682384"/>
    <w:rsid w:val="00683CBD"/>
    <w:rsid w:val="00685F93"/>
    <w:rsid w:val="0069104C"/>
    <w:rsid w:val="00693856"/>
    <w:rsid w:val="006A07CB"/>
    <w:rsid w:val="006A29B0"/>
    <w:rsid w:val="006B194B"/>
    <w:rsid w:val="006B66E8"/>
    <w:rsid w:val="006C437D"/>
    <w:rsid w:val="006C4608"/>
    <w:rsid w:val="006D24C9"/>
    <w:rsid w:val="006E100D"/>
    <w:rsid w:val="006E7FF8"/>
    <w:rsid w:val="0070229D"/>
    <w:rsid w:val="00706198"/>
    <w:rsid w:val="007139EE"/>
    <w:rsid w:val="00722787"/>
    <w:rsid w:val="00740DD6"/>
    <w:rsid w:val="00741E54"/>
    <w:rsid w:val="00745E1D"/>
    <w:rsid w:val="00752EFF"/>
    <w:rsid w:val="00761E06"/>
    <w:rsid w:val="00764160"/>
    <w:rsid w:val="007642EE"/>
    <w:rsid w:val="00770343"/>
    <w:rsid w:val="00772D15"/>
    <w:rsid w:val="0078124F"/>
    <w:rsid w:val="007870A0"/>
    <w:rsid w:val="00797ABA"/>
    <w:rsid w:val="007A69EA"/>
    <w:rsid w:val="007B1954"/>
    <w:rsid w:val="007B338A"/>
    <w:rsid w:val="007B7944"/>
    <w:rsid w:val="007D167F"/>
    <w:rsid w:val="007D3073"/>
    <w:rsid w:val="007D4DCE"/>
    <w:rsid w:val="007E0005"/>
    <w:rsid w:val="007E4F49"/>
    <w:rsid w:val="007E71B2"/>
    <w:rsid w:val="007F0F35"/>
    <w:rsid w:val="007F6054"/>
    <w:rsid w:val="0080351D"/>
    <w:rsid w:val="00805A17"/>
    <w:rsid w:val="008236A9"/>
    <w:rsid w:val="00827E88"/>
    <w:rsid w:val="0083612E"/>
    <w:rsid w:val="008410F9"/>
    <w:rsid w:val="00845AA8"/>
    <w:rsid w:val="00845DFD"/>
    <w:rsid w:val="0085003E"/>
    <w:rsid w:val="008606D2"/>
    <w:rsid w:val="0087042B"/>
    <w:rsid w:val="00880DDE"/>
    <w:rsid w:val="008959F9"/>
    <w:rsid w:val="00897D9F"/>
    <w:rsid w:val="008B1FE5"/>
    <w:rsid w:val="008C16C8"/>
    <w:rsid w:val="008D3F14"/>
    <w:rsid w:val="008D4AC9"/>
    <w:rsid w:val="008E0336"/>
    <w:rsid w:val="008E0E31"/>
    <w:rsid w:val="008E2870"/>
    <w:rsid w:val="00900902"/>
    <w:rsid w:val="00903B61"/>
    <w:rsid w:val="009103BF"/>
    <w:rsid w:val="00916C35"/>
    <w:rsid w:val="009354FC"/>
    <w:rsid w:val="0095071C"/>
    <w:rsid w:val="00955382"/>
    <w:rsid w:val="00956955"/>
    <w:rsid w:val="0095696C"/>
    <w:rsid w:val="00956BCC"/>
    <w:rsid w:val="00956F65"/>
    <w:rsid w:val="00960357"/>
    <w:rsid w:val="00971265"/>
    <w:rsid w:val="00972B78"/>
    <w:rsid w:val="00991BDA"/>
    <w:rsid w:val="0099573B"/>
    <w:rsid w:val="009A1017"/>
    <w:rsid w:val="009A3BFA"/>
    <w:rsid w:val="009A4658"/>
    <w:rsid w:val="009A4C46"/>
    <w:rsid w:val="009A772E"/>
    <w:rsid w:val="009B217A"/>
    <w:rsid w:val="009B22C6"/>
    <w:rsid w:val="009B4A75"/>
    <w:rsid w:val="009B5690"/>
    <w:rsid w:val="009C0A19"/>
    <w:rsid w:val="009D1ECD"/>
    <w:rsid w:val="009D484A"/>
    <w:rsid w:val="009D6A76"/>
    <w:rsid w:val="009E1235"/>
    <w:rsid w:val="009E485B"/>
    <w:rsid w:val="009E599F"/>
    <w:rsid w:val="009F5AA6"/>
    <w:rsid w:val="00A16401"/>
    <w:rsid w:val="00A224A0"/>
    <w:rsid w:val="00A2745F"/>
    <w:rsid w:val="00A46F23"/>
    <w:rsid w:val="00A50965"/>
    <w:rsid w:val="00A51554"/>
    <w:rsid w:val="00A528EA"/>
    <w:rsid w:val="00A54292"/>
    <w:rsid w:val="00A5568D"/>
    <w:rsid w:val="00A55C23"/>
    <w:rsid w:val="00A67E0E"/>
    <w:rsid w:val="00A83C2D"/>
    <w:rsid w:val="00A84E9F"/>
    <w:rsid w:val="00A865DE"/>
    <w:rsid w:val="00A92503"/>
    <w:rsid w:val="00A97F3F"/>
    <w:rsid w:val="00AA5CD5"/>
    <w:rsid w:val="00AB42B7"/>
    <w:rsid w:val="00AB5C6A"/>
    <w:rsid w:val="00AB7121"/>
    <w:rsid w:val="00AD2AA1"/>
    <w:rsid w:val="00AD4E76"/>
    <w:rsid w:val="00AD7FD9"/>
    <w:rsid w:val="00AE3370"/>
    <w:rsid w:val="00AF2C0B"/>
    <w:rsid w:val="00AF342E"/>
    <w:rsid w:val="00AF3756"/>
    <w:rsid w:val="00B00304"/>
    <w:rsid w:val="00B01C83"/>
    <w:rsid w:val="00B026B6"/>
    <w:rsid w:val="00B07FD7"/>
    <w:rsid w:val="00B23D8A"/>
    <w:rsid w:val="00B23FD0"/>
    <w:rsid w:val="00B35758"/>
    <w:rsid w:val="00B430A7"/>
    <w:rsid w:val="00B4468A"/>
    <w:rsid w:val="00B55C88"/>
    <w:rsid w:val="00B70BC1"/>
    <w:rsid w:val="00B8106C"/>
    <w:rsid w:val="00B81345"/>
    <w:rsid w:val="00B9042E"/>
    <w:rsid w:val="00BB5C22"/>
    <w:rsid w:val="00BC220E"/>
    <w:rsid w:val="00BD1CDB"/>
    <w:rsid w:val="00C016B9"/>
    <w:rsid w:val="00C03D0E"/>
    <w:rsid w:val="00C06294"/>
    <w:rsid w:val="00C105E3"/>
    <w:rsid w:val="00C112DC"/>
    <w:rsid w:val="00C12688"/>
    <w:rsid w:val="00C1576F"/>
    <w:rsid w:val="00C21F70"/>
    <w:rsid w:val="00C230C8"/>
    <w:rsid w:val="00C27E8C"/>
    <w:rsid w:val="00C441D8"/>
    <w:rsid w:val="00C451EA"/>
    <w:rsid w:val="00C60BD3"/>
    <w:rsid w:val="00C64791"/>
    <w:rsid w:val="00C676BB"/>
    <w:rsid w:val="00C726C5"/>
    <w:rsid w:val="00C75D89"/>
    <w:rsid w:val="00C75D9D"/>
    <w:rsid w:val="00C80C4A"/>
    <w:rsid w:val="00C81F38"/>
    <w:rsid w:val="00C8401F"/>
    <w:rsid w:val="00C84475"/>
    <w:rsid w:val="00CA2153"/>
    <w:rsid w:val="00CA25ED"/>
    <w:rsid w:val="00CA2914"/>
    <w:rsid w:val="00CA30D2"/>
    <w:rsid w:val="00CA6C11"/>
    <w:rsid w:val="00CB0451"/>
    <w:rsid w:val="00CD1362"/>
    <w:rsid w:val="00CE106F"/>
    <w:rsid w:val="00CF17FF"/>
    <w:rsid w:val="00D02EC0"/>
    <w:rsid w:val="00D05C6D"/>
    <w:rsid w:val="00D07559"/>
    <w:rsid w:val="00D10296"/>
    <w:rsid w:val="00D2178C"/>
    <w:rsid w:val="00D36A69"/>
    <w:rsid w:val="00D36E47"/>
    <w:rsid w:val="00D45A98"/>
    <w:rsid w:val="00D46DAF"/>
    <w:rsid w:val="00D516CB"/>
    <w:rsid w:val="00D56DC5"/>
    <w:rsid w:val="00D6006C"/>
    <w:rsid w:val="00D64410"/>
    <w:rsid w:val="00D66615"/>
    <w:rsid w:val="00D705A9"/>
    <w:rsid w:val="00D738FE"/>
    <w:rsid w:val="00D7437E"/>
    <w:rsid w:val="00D83E25"/>
    <w:rsid w:val="00D850E3"/>
    <w:rsid w:val="00D90735"/>
    <w:rsid w:val="00D93931"/>
    <w:rsid w:val="00DA1DDB"/>
    <w:rsid w:val="00DA5059"/>
    <w:rsid w:val="00DB40E4"/>
    <w:rsid w:val="00DB62C8"/>
    <w:rsid w:val="00DB63E2"/>
    <w:rsid w:val="00DC3CB3"/>
    <w:rsid w:val="00DC42E2"/>
    <w:rsid w:val="00DE4A0C"/>
    <w:rsid w:val="00DE77B1"/>
    <w:rsid w:val="00DF12A0"/>
    <w:rsid w:val="00E03F15"/>
    <w:rsid w:val="00E06D6E"/>
    <w:rsid w:val="00E146A9"/>
    <w:rsid w:val="00E14ED8"/>
    <w:rsid w:val="00E16D7F"/>
    <w:rsid w:val="00E2719E"/>
    <w:rsid w:val="00E303C8"/>
    <w:rsid w:val="00E321B2"/>
    <w:rsid w:val="00E36F73"/>
    <w:rsid w:val="00E37963"/>
    <w:rsid w:val="00E4465E"/>
    <w:rsid w:val="00E54EDE"/>
    <w:rsid w:val="00E63422"/>
    <w:rsid w:val="00E64067"/>
    <w:rsid w:val="00E7042D"/>
    <w:rsid w:val="00E74D22"/>
    <w:rsid w:val="00E75F7A"/>
    <w:rsid w:val="00E8510C"/>
    <w:rsid w:val="00E87C38"/>
    <w:rsid w:val="00E941E3"/>
    <w:rsid w:val="00EA472F"/>
    <w:rsid w:val="00EC188E"/>
    <w:rsid w:val="00EC3C45"/>
    <w:rsid w:val="00ED1F5D"/>
    <w:rsid w:val="00ED2FF2"/>
    <w:rsid w:val="00EE07AA"/>
    <w:rsid w:val="00EF3B69"/>
    <w:rsid w:val="00F00A25"/>
    <w:rsid w:val="00F02583"/>
    <w:rsid w:val="00F0340E"/>
    <w:rsid w:val="00F11109"/>
    <w:rsid w:val="00F14572"/>
    <w:rsid w:val="00F17424"/>
    <w:rsid w:val="00F20471"/>
    <w:rsid w:val="00F20AD3"/>
    <w:rsid w:val="00F270ED"/>
    <w:rsid w:val="00F35C3F"/>
    <w:rsid w:val="00F364E3"/>
    <w:rsid w:val="00F36733"/>
    <w:rsid w:val="00F4030B"/>
    <w:rsid w:val="00F46308"/>
    <w:rsid w:val="00F52752"/>
    <w:rsid w:val="00F658D8"/>
    <w:rsid w:val="00F720F7"/>
    <w:rsid w:val="00F878AA"/>
    <w:rsid w:val="00FA374A"/>
    <w:rsid w:val="00FB7573"/>
    <w:rsid w:val="00FC45F8"/>
    <w:rsid w:val="00FC685A"/>
    <w:rsid w:val="00FC77D7"/>
    <w:rsid w:val="00FD7280"/>
    <w:rsid w:val="00FF3CD8"/>
    <w:rsid w:val="00FF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FAE8C"/>
  <w15:chartTrackingRefBased/>
  <w15:docId w15:val="{2FDB7763-8741-4A32-8439-EADB458A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9E9"/>
    <w:pPr>
      <w:tabs>
        <w:tab w:val="center" w:pos="4320"/>
        <w:tab w:val="right" w:pos="8640"/>
      </w:tabs>
    </w:pPr>
  </w:style>
  <w:style w:type="paragraph" w:styleId="Footer">
    <w:name w:val="footer"/>
    <w:basedOn w:val="Normal"/>
    <w:rsid w:val="006529E9"/>
    <w:pPr>
      <w:tabs>
        <w:tab w:val="center" w:pos="4320"/>
        <w:tab w:val="right" w:pos="8640"/>
      </w:tabs>
    </w:pPr>
  </w:style>
  <w:style w:type="character" w:styleId="PageNumber">
    <w:name w:val="page number"/>
    <w:basedOn w:val="DefaultParagraphFont"/>
    <w:rsid w:val="006529E9"/>
  </w:style>
  <w:style w:type="paragraph" w:styleId="BalloonText">
    <w:name w:val="Balloon Text"/>
    <w:basedOn w:val="Normal"/>
    <w:link w:val="BalloonTextChar"/>
    <w:rsid w:val="00AB7121"/>
    <w:rPr>
      <w:rFonts w:ascii="Tahoma" w:hAnsi="Tahoma" w:cs="Tahoma"/>
      <w:sz w:val="16"/>
      <w:szCs w:val="16"/>
    </w:rPr>
  </w:style>
  <w:style w:type="character" w:customStyle="1" w:styleId="BalloonTextChar">
    <w:name w:val="Balloon Text Char"/>
    <w:link w:val="BalloonText"/>
    <w:rsid w:val="00AB7121"/>
    <w:rPr>
      <w:rFonts w:ascii="Tahoma" w:hAnsi="Tahoma" w:cs="Tahoma"/>
      <w:sz w:val="16"/>
      <w:szCs w:val="16"/>
    </w:rPr>
  </w:style>
  <w:style w:type="paragraph" w:styleId="ListParagraph">
    <w:name w:val="List Paragraph"/>
    <w:basedOn w:val="Normal"/>
    <w:uiPriority w:val="34"/>
    <w:qFormat/>
    <w:rsid w:val="00F02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2761</Words>
  <Characters>14878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Safety Manual</vt:lpstr>
    </vt:vector>
  </TitlesOfParts>
  <Company>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Manual</dc:title>
  <dc:subject/>
  <dc:creator>dsmith</dc:creator>
  <cp:keywords/>
  <dc:description/>
  <cp:lastModifiedBy>Mike Cadotte</cp:lastModifiedBy>
  <cp:revision>7</cp:revision>
  <cp:lastPrinted>2019-01-21T19:35:00Z</cp:lastPrinted>
  <dcterms:created xsi:type="dcterms:W3CDTF">2017-10-09T16:55:00Z</dcterms:created>
  <dcterms:modified xsi:type="dcterms:W3CDTF">2020-08-28T13:52:00Z</dcterms:modified>
</cp:coreProperties>
</file>